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E38991" w14:textId="77777777" w:rsidR="00613FA1" w:rsidRDefault="00613FA1">
      <w:pPr>
        <w:pStyle w:val="Titolo"/>
        <w:keepNext w:val="0"/>
        <w:ind w:right="0" w:firstLine="0"/>
        <w:rPr>
          <w:sz w:val="24"/>
          <w:szCs w:val="24"/>
        </w:rPr>
      </w:pPr>
    </w:p>
    <w:p w14:paraId="761D4A9D" w14:textId="6345FC0E" w:rsidR="002E643C" w:rsidRPr="00162E69" w:rsidRDefault="007A19A9">
      <w:pPr>
        <w:pStyle w:val="Titolo"/>
        <w:keepNext w:val="0"/>
        <w:ind w:right="0" w:firstLine="0"/>
        <w:rPr>
          <w:sz w:val="24"/>
          <w:szCs w:val="24"/>
        </w:rPr>
      </w:pPr>
      <w:r w:rsidRPr="00162E69">
        <w:rPr>
          <w:sz w:val="24"/>
          <w:szCs w:val="24"/>
        </w:rPr>
        <w:t>SITALFA S.p.A.</w:t>
      </w:r>
    </w:p>
    <w:p w14:paraId="5CC459E0" w14:textId="77777777" w:rsidR="00474201" w:rsidRPr="00162E69" w:rsidRDefault="00474201">
      <w:pPr>
        <w:pStyle w:val="Titolo"/>
        <w:keepNext w:val="0"/>
        <w:ind w:right="0" w:firstLine="0"/>
        <w:rPr>
          <w:sz w:val="24"/>
          <w:szCs w:val="24"/>
        </w:rPr>
      </w:pPr>
      <w:r w:rsidRPr="00162E69">
        <w:rPr>
          <w:sz w:val="24"/>
          <w:szCs w:val="24"/>
        </w:rPr>
        <w:t>Società un</w:t>
      </w:r>
      <w:r w:rsidR="004D1225" w:rsidRPr="00162E69">
        <w:rPr>
          <w:sz w:val="24"/>
          <w:szCs w:val="24"/>
        </w:rPr>
        <w:t>i</w:t>
      </w:r>
      <w:r w:rsidRPr="00162E69">
        <w:rPr>
          <w:sz w:val="24"/>
          <w:szCs w:val="24"/>
        </w:rPr>
        <w:t>personale</w:t>
      </w:r>
    </w:p>
    <w:p w14:paraId="73B8D57E" w14:textId="77777777" w:rsidR="002E643C" w:rsidRPr="00162E69" w:rsidRDefault="007A19A9">
      <w:pPr>
        <w:pStyle w:val="Titolo"/>
        <w:keepNext w:val="0"/>
        <w:ind w:right="0" w:firstLine="0"/>
        <w:rPr>
          <w:sz w:val="24"/>
          <w:szCs w:val="24"/>
        </w:rPr>
      </w:pPr>
      <w:r w:rsidRPr="00162E69">
        <w:rPr>
          <w:sz w:val="24"/>
          <w:szCs w:val="24"/>
        </w:rPr>
        <w:t xml:space="preserve">società soggetta all’attività di direzione e coordinamento del socio unico </w:t>
      </w:r>
      <w:r w:rsidRPr="00162E69">
        <w:rPr>
          <w:rFonts w:eastAsia="Batang"/>
          <w:sz w:val="24"/>
          <w:szCs w:val="24"/>
        </w:rPr>
        <w:t>S.I.T.A.F. S.p.A.</w:t>
      </w:r>
    </w:p>
    <w:p w14:paraId="14E32AED" w14:textId="77777777" w:rsidR="002E643C" w:rsidRPr="00162E69" w:rsidRDefault="007A19A9">
      <w:pPr>
        <w:pStyle w:val="Sottotitolo"/>
        <w:keepNext w:val="0"/>
        <w:ind w:right="0"/>
        <w:rPr>
          <w:sz w:val="24"/>
        </w:rPr>
      </w:pPr>
      <w:r w:rsidRPr="00162E69">
        <w:rPr>
          <w:iCs w:val="0"/>
          <w:sz w:val="24"/>
        </w:rPr>
        <w:t>Sede legale in Bruzolo, via Lago n. 11</w:t>
      </w:r>
    </w:p>
    <w:p w14:paraId="69F28C27" w14:textId="77777777" w:rsidR="002E643C" w:rsidRPr="00162E69" w:rsidRDefault="007A19A9">
      <w:pPr>
        <w:pStyle w:val="Sottotitolo"/>
        <w:keepNext w:val="0"/>
        <w:ind w:right="0"/>
        <w:rPr>
          <w:iCs w:val="0"/>
          <w:sz w:val="24"/>
        </w:rPr>
      </w:pPr>
      <w:r w:rsidRPr="00162E69">
        <w:rPr>
          <w:iCs w:val="0"/>
          <w:sz w:val="24"/>
        </w:rPr>
        <w:t>Capitale sociale euro 520.000,00 interamente versato</w:t>
      </w:r>
    </w:p>
    <w:p w14:paraId="18F7AE01" w14:textId="77777777" w:rsidR="002E643C" w:rsidRPr="00162E69" w:rsidRDefault="007A19A9">
      <w:pPr>
        <w:pStyle w:val="Sottotitolo"/>
        <w:keepNext w:val="0"/>
        <w:ind w:right="0"/>
        <w:rPr>
          <w:iCs w:val="0"/>
          <w:sz w:val="24"/>
        </w:rPr>
      </w:pPr>
      <w:r w:rsidRPr="00162E69">
        <w:rPr>
          <w:iCs w:val="0"/>
          <w:sz w:val="24"/>
        </w:rPr>
        <w:t>Iscritta al Registro delle Imprese di Torino e codice fiscale n. 06782560012</w:t>
      </w:r>
    </w:p>
    <w:p w14:paraId="70DB1D2C" w14:textId="77777777" w:rsidR="002E643C" w:rsidRPr="00162E69" w:rsidRDefault="007A19A9">
      <w:pPr>
        <w:rPr>
          <w:szCs w:val="24"/>
        </w:rPr>
      </w:pPr>
      <w:r w:rsidRPr="00162E69">
        <w:rPr>
          <w:szCs w:val="24"/>
        </w:rPr>
        <w:t>____________________________________________________________</w:t>
      </w:r>
    </w:p>
    <w:p w14:paraId="20FB25C2" w14:textId="77777777" w:rsidR="002E643C" w:rsidRPr="00162E69" w:rsidRDefault="007A19A9">
      <w:pPr>
        <w:pStyle w:val="Titolo2"/>
        <w:keepNext w:val="0"/>
        <w:rPr>
          <w:szCs w:val="24"/>
        </w:rPr>
      </w:pPr>
      <w:r w:rsidRPr="00162E69">
        <w:rPr>
          <w:szCs w:val="24"/>
        </w:rPr>
        <w:t>RELAZIONE SULLA GESTIONE</w:t>
      </w:r>
    </w:p>
    <w:p w14:paraId="5DE45838" w14:textId="77777777" w:rsidR="002E643C" w:rsidRPr="00162E69" w:rsidRDefault="007A19A9">
      <w:pPr>
        <w:jc w:val="center"/>
        <w:rPr>
          <w:szCs w:val="24"/>
        </w:rPr>
      </w:pPr>
      <w:r w:rsidRPr="00162E69">
        <w:rPr>
          <w:b/>
          <w:bCs/>
          <w:i/>
          <w:iCs/>
          <w:szCs w:val="24"/>
        </w:rPr>
        <w:t xml:space="preserve">a corredo del </w:t>
      </w:r>
      <w:r w:rsidRPr="00162E69">
        <w:rPr>
          <w:b/>
          <w:bCs/>
          <w:szCs w:val="24"/>
        </w:rPr>
        <w:t xml:space="preserve">BILANCIO AL 31 DICEMBRE </w:t>
      </w:r>
      <w:r w:rsidR="00D12ED9" w:rsidRPr="00162E69">
        <w:rPr>
          <w:b/>
          <w:bCs/>
          <w:szCs w:val="24"/>
        </w:rPr>
        <w:t>2021</w:t>
      </w:r>
    </w:p>
    <w:p w14:paraId="1C1946E5" w14:textId="77777777" w:rsidR="002E643C" w:rsidRPr="00162E69" w:rsidRDefault="007A19A9">
      <w:pPr>
        <w:jc w:val="center"/>
        <w:rPr>
          <w:szCs w:val="24"/>
        </w:rPr>
      </w:pPr>
      <w:r w:rsidRPr="00162E69">
        <w:rPr>
          <w:szCs w:val="24"/>
        </w:rPr>
        <w:t>* * *</w:t>
      </w:r>
    </w:p>
    <w:p w14:paraId="10C17DE9" w14:textId="77777777" w:rsidR="002E643C" w:rsidRPr="00162E69" w:rsidRDefault="00AD4F9C">
      <w:pPr>
        <w:rPr>
          <w:szCs w:val="24"/>
        </w:rPr>
      </w:pPr>
      <w:r w:rsidRPr="00162E69">
        <w:rPr>
          <w:szCs w:val="24"/>
        </w:rPr>
        <w:t>Al Socio Unico della Società</w:t>
      </w:r>
      <w:r w:rsidR="007A19A9" w:rsidRPr="00162E69">
        <w:rPr>
          <w:szCs w:val="24"/>
        </w:rPr>
        <w:t>,</w:t>
      </w:r>
    </w:p>
    <w:p w14:paraId="6A080864" w14:textId="77777777" w:rsidR="00AD4F9C" w:rsidRPr="00162E69" w:rsidRDefault="00C03FA2" w:rsidP="000241C2">
      <w:pPr>
        <w:rPr>
          <w:szCs w:val="24"/>
        </w:rPr>
      </w:pPr>
      <w:r w:rsidRPr="00162E69">
        <w:rPr>
          <w:szCs w:val="24"/>
        </w:rPr>
        <w:t>p</w:t>
      </w:r>
      <w:r w:rsidR="00AD4F9C" w:rsidRPr="00162E69">
        <w:rPr>
          <w:szCs w:val="24"/>
        </w:rPr>
        <w:t xml:space="preserve">resentiamo alla Vostra approvazione il </w:t>
      </w:r>
      <w:r w:rsidR="000241C2" w:rsidRPr="00162E69">
        <w:rPr>
          <w:szCs w:val="24"/>
        </w:rPr>
        <w:t xml:space="preserve">bilancio relativo all’esercizio chiuso al 31 dicembre </w:t>
      </w:r>
      <w:r w:rsidR="00D12ED9" w:rsidRPr="00162E69">
        <w:rPr>
          <w:szCs w:val="24"/>
        </w:rPr>
        <w:t xml:space="preserve">2021 </w:t>
      </w:r>
      <w:r w:rsidR="00AD4F9C" w:rsidRPr="00162E69">
        <w:rPr>
          <w:szCs w:val="24"/>
        </w:rPr>
        <w:t>che si compone di Stato Patrimoniale, Conto Economico, Rendiconto Finanziario e Nota Integrativa, come disposto dall’art. 2423 del Codice Civile.</w:t>
      </w:r>
    </w:p>
    <w:p w14:paraId="5136DFBC" w14:textId="77777777" w:rsidR="00C03FA2" w:rsidRPr="00162E69" w:rsidRDefault="00AD4F9C" w:rsidP="000241C2">
      <w:pPr>
        <w:rPr>
          <w:szCs w:val="24"/>
        </w:rPr>
      </w:pPr>
      <w:r w:rsidRPr="00162E69">
        <w:rPr>
          <w:szCs w:val="24"/>
        </w:rPr>
        <w:t xml:space="preserve">Il risultato dell’esercizio evidenzia </w:t>
      </w:r>
      <w:r w:rsidR="000241C2" w:rsidRPr="00162E69">
        <w:rPr>
          <w:szCs w:val="24"/>
        </w:rPr>
        <w:t xml:space="preserve">un utile netto di esercizio di euro </w:t>
      </w:r>
      <w:r w:rsidR="00EB018A" w:rsidRPr="00162E69">
        <w:rPr>
          <w:szCs w:val="24"/>
        </w:rPr>
        <w:t>1.913.728</w:t>
      </w:r>
      <w:r w:rsidR="00C03FA2" w:rsidRPr="00162E69">
        <w:rPr>
          <w:szCs w:val="24"/>
        </w:rPr>
        <w:t>.</w:t>
      </w:r>
    </w:p>
    <w:p w14:paraId="41320F5B" w14:textId="77777777" w:rsidR="002E643C" w:rsidRPr="00162E69" w:rsidRDefault="00AD4F9C">
      <w:pPr>
        <w:rPr>
          <w:szCs w:val="24"/>
        </w:rPr>
      </w:pPr>
      <w:r w:rsidRPr="00162E69">
        <w:rPr>
          <w:szCs w:val="24"/>
        </w:rPr>
        <w:t>Di seguito vengono fornite le principali informazioni sull’andamento della Vostra Società.</w:t>
      </w:r>
    </w:p>
    <w:p w14:paraId="3883EAA7" w14:textId="77777777" w:rsidR="002E643C" w:rsidRPr="00162E69" w:rsidRDefault="007A19A9">
      <w:pPr>
        <w:rPr>
          <w:b/>
          <w:bCs/>
          <w:smallCaps/>
          <w:szCs w:val="24"/>
        </w:rPr>
      </w:pPr>
      <w:r w:rsidRPr="00162E69">
        <w:rPr>
          <w:b/>
          <w:bCs/>
          <w:smallCaps/>
          <w:szCs w:val="24"/>
        </w:rPr>
        <w:t>Situazione della società e andamento della gestione</w:t>
      </w:r>
    </w:p>
    <w:p w14:paraId="7D1A2D0F" w14:textId="18AAAD0E" w:rsidR="00E26709" w:rsidRPr="00162E69" w:rsidRDefault="002E42F4" w:rsidP="00C03FA2">
      <w:pPr>
        <w:rPr>
          <w:szCs w:val="24"/>
        </w:rPr>
      </w:pPr>
      <w:r w:rsidRPr="00162E69">
        <w:rPr>
          <w:szCs w:val="24"/>
        </w:rPr>
        <w:t xml:space="preserve">Nell’esercizio concluso alla data del 31.12.21, la Sitalfa SpA ha sviluppato </w:t>
      </w:r>
      <w:r w:rsidR="004B6503">
        <w:rPr>
          <w:szCs w:val="24"/>
        </w:rPr>
        <w:t xml:space="preserve">un valore della produzione per lavori e vendite per </w:t>
      </w:r>
      <w:r w:rsidRPr="00162E69">
        <w:rPr>
          <w:szCs w:val="24"/>
        </w:rPr>
        <w:t xml:space="preserve"> complessivi € 37.218.219</w:t>
      </w:r>
      <w:r w:rsidR="00F1204A">
        <w:rPr>
          <w:szCs w:val="24"/>
        </w:rPr>
        <w:t xml:space="preserve">, </w:t>
      </w:r>
      <w:r w:rsidRPr="00162E69">
        <w:rPr>
          <w:szCs w:val="24"/>
        </w:rPr>
        <w:t>attraverso l’esecuzione di 5</w:t>
      </w:r>
      <w:r w:rsidR="004B6503">
        <w:rPr>
          <w:szCs w:val="24"/>
        </w:rPr>
        <w:t>3</w:t>
      </w:r>
      <w:r w:rsidRPr="00162E69">
        <w:rPr>
          <w:szCs w:val="24"/>
        </w:rPr>
        <w:t xml:space="preserve"> distinte commesse, di cui:</w:t>
      </w:r>
    </w:p>
    <w:p w14:paraId="703F8CF6" w14:textId="77777777" w:rsidR="002E42F4" w:rsidRPr="00162E69" w:rsidRDefault="002E42F4" w:rsidP="00C03FA2">
      <w:pPr>
        <w:rPr>
          <w:szCs w:val="24"/>
        </w:rPr>
      </w:pPr>
      <w:r w:rsidRPr="00162E69">
        <w:rPr>
          <w:szCs w:val="24"/>
        </w:rPr>
        <w:t xml:space="preserve">n. </w:t>
      </w:r>
      <w:r w:rsidR="00501D9D" w:rsidRPr="00162E69">
        <w:rPr>
          <w:szCs w:val="24"/>
        </w:rPr>
        <w:t>40</w:t>
      </w:r>
      <w:r w:rsidRPr="00162E69">
        <w:rPr>
          <w:szCs w:val="24"/>
        </w:rPr>
        <w:t xml:space="preserve"> assunte dalla propria controllante Sitaf SpA </w:t>
      </w:r>
      <w:r w:rsidR="00E74E46" w:rsidRPr="00162E69">
        <w:rPr>
          <w:szCs w:val="24"/>
        </w:rPr>
        <w:t xml:space="preserve">che hanno dato luogo a </w:t>
      </w:r>
      <w:r w:rsidR="00E74E46" w:rsidRPr="00162E69">
        <w:rPr>
          <w:szCs w:val="24"/>
        </w:rPr>
        <w:lastRenderedPageBreak/>
        <w:t>produzioni per complessivi € 34.402.313;</w:t>
      </w:r>
    </w:p>
    <w:p w14:paraId="510FBB84" w14:textId="77777777" w:rsidR="00E74E46" w:rsidRPr="00162E69" w:rsidRDefault="00E74E46" w:rsidP="00C03FA2">
      <w:pPr>
        <w:rPr>
          <w:szCs w:val="24"/>
        </w:rPr>
      </w:pPr>
      <w:r w:rsidRPr="00162E69">
        <w:rPr>
          <w:szCs w:val="24"/>
        </w:rPr>
        <w:t>n. 5 assunte dal GEIE GEF che hanno dato luogo a produzioni per complessivi € 696.803;</w:t>
      </w:r>
    </w:p>
    <w:p w14:paraId="6399A46C" w14:textId="542150FD" w:rsidR="00E74E46" w:rsidRPr="00162E69" w:rsidRDefault="00E74E46" w:rsidP="00C03FA2">
      <w:pPr>
        <w:rPr>
          <w:szCs w:val="24"/>
        </w:rPr>
      </w:pPr>
      <w:r w:rsidRPr="00162E69">
        <w:rPr>
          <w:szCs w:val="24"/>
        </w:rPr>
        <w:t>n. 8 acquisite da altri committenti che hanno dato luogo a produzioni per complessivi € 1.8</w:t>
      </w:r>
      <w:r w:rsidR="008A4D18">
        <w:rPr>
          <w:szCs w:val="24"/>
        </w:rPr>
        <w:t>00</w:t>
      </w:r>
      <w:r w:rsidRPr="00162E69">
        <w:rPr>
          <w:szCs w:val="24"/>
        </w:rPr>
        <w:t>.</w:t>
      </w:r>
      <w:r w:rsidR="008A4D18">
        <w:rPr>
          <w:szCs w:val="24"/>
        </w:rPr>
        <w:t>952</w:t>
      </w:r>
      <w:r w:rsidRPr="00162E69">
        <w:rPr>
          <w:szCs w:val="24"/>
        </w:rPr>
        <w:t>.</w:t>
      </w:r>
    </w:p>
    <w:p w14:paraId="1845AB8A" w14:textId="77777777" w:rsidR="002E42F4" w:rsidRPr="00162E69" w:rsidRDefault="003F52A6" w:rsidP="00C03FA2">
      <w:pPr>
        <w:rPr>
          <w:szCs w:val="24"/>
        </w:rPr>
      </w:pPr>
      <w:r w:rsidRPr="00162E69">
        <w:rPr>
          <w:szCs w:val="24"/>
        </w:rPr>
        <w:t>Le commesse quantitativamente più significative sono risultate:</w:t>
      </w:r>
    </w:p>
    <w:p w14:paraId="43D27A9D" w14:textId="77777777" w:rsidR="003F52A6" w:rsidRPr="00162E69" w:rsidRDefault="003F52A6" w:rsidP="00C03FA2">
      <w:pPr>
        <w:rPr>
          <w:szCs w:val="24"/>
        </w:rPr>
      </w:pPr>
      <w:r w:rsidRPr="00162E69">
        <w:rPr>
          <w:szCs w:val="24"/>
        </w:rPr>
        <w:t>Sitaf – Ordinaria manutenzione opere civili – annualità 2021 che ha sviluppato una produzione nell’anno, pari ad € 9.027.763;</w:t>
      </w:r>
    </w:p>
    <w:p w14:paraId="7CB6BCB0" w14:textId="77777777" w:rsidR="003F52A6" w:rsidRPr="00162E69" w:rsidRDefault="003F52A6" w:rsidP="003F52A6">
      <w:pPr>
        <w:rPr>
          <w:szCs w:val="24"/>
        </w:rPr>
      </w:pPr>
      <w:r w:rsidRPr="00162E69">
        <w:rPr>
          <w:szCs w:val="24"/>
        </w:rPr>
        <w:t>Sitaf – Ordinaria manutenzione pavimentazioni – annualità 2021 che ha sviluppato una produzione nell’anno, pari ad € 3.016.637;</w:t>
      </w:r>
    </w:p>
    <w:p w14:paraId="09719C1C" w14:textId="77777777" w:rsidR="003F52A6" w:rsidRPr="00162E69" w:rsidRDefault="003F52A6" w:rsidP="003F52A6">
      <w:pPr>
        <w:rPr>
          <w:szCs w:val="24"/>
        </w:rPr>
      </w:pPr>
      <w:r w:rsidRPr="00162E69">
        <w:rPr>
          <w:szCs w:val="24"/>
        </w:rPr>
        <w:t>Sitaf – Sgombero neve e trattamenti antigelivi – annualità 2021 che ha sviluppato una produzione nell’anno, pari ad € 3.826.228;</w:t>
      </w:r>
    </w:p>
    <w:p w14:paraId="667E8E80" w14:textId="77777777" w:rsidR="003F52A6" w:rsidRPr="00162E69" w:rsidRDefault="003F52A6" w:rsidP="003F52A6">
      <w:pPr>
        <w:rPr>
          <w:szCs w:val="24"/>
        </w:rPr>
      </w:pPr>
      <w:r w:rsidRPr="00162E69">
        <w:rPr>
          <w:szCs w:val="24"/>
        </w:rPr>
        <w:t>Sitaf A32 Viadotto Clarea Istallazione barriere di protezione che ha sviluppato una produzione nell’anno, pari ad € 3.130.398;</w:t>
      </w:r>
    </w:p>
    <w:p w14:paraId="202DA469" w14:textId="77777777" w:rsidR="003F52A6" w:rsidRPr="00162E69" w:rsidRDefault="003F52A6" w:rsidP="003F52A6">
      <w:pPr>
        <w:rPr>
          <w:szCs w:val="24"/>
        </w:rPr>
      </w:pPr>
      <w:r w:rsidRPr="00162E69">
        <w:rPr>
          <w:szCs w:val="24"/>
        </w:rPr>
        <w:t>Sitaf  - Ordinaria manutenzione Impianti – Annualità 2021 che ha sviluppato una produzione nell’anno, pari ad € 3.363.789;</w:t>
      </w:r>
    </w:p>
    <w:p w14:paraId="120916CE" w14:textId="77777777" w:rsidR="003F52A6" w:rsidRPr="00162E69" w:rsidRDefault="003F52A6" w:rsidP="003F52A6">
      <w:pPr>
        <w:rPr>
          <w:szCs w:val="24"/>
        </w:rPr>
      </w:pPr>
      <w:r w:rsidRPr="00162E69">
        <w:rPr>
          <w:szCs w:val="24"/>
        </w:rPr>
        <w:t>Sitaf  - T4 Ampliamento fabbricato Direzione d’esercizio che ha sviluppato una produzione nell’anno, pari ad € 1.799.497;</w:t>
      </w:r>
    </w:p>
    <w:p w14:paraId="01BC9B55" w14:textId="77777777" w:rsidR="003F52A6" w:rsidRPr="00162E69" w:rsidRDefault="003F52A6" w:rsidP="00C03FA2">
      <w:pPr>
        <w:rPr>
          <w:szCs w:val="24"/>
        </w:rPr>
      </w:pPr>
      <w:r w:rsidRPr="00162E69">
        <w:rPr>
          <w:szCs w:val="24"/>
        </w:rPr>
        <w:t>Sitaf  - Viadotto Clarea – Interventi di ripristino barriere laterali e scarichi acque  che ha sviluppato una produzione nell’anno, pari ad € 1.479.128</w:t>
      </w:r>
    </w:p>
    <w:p w14:paraId="3B9FABB9" w14:textId="6DD2B380" w:rsidR="00E26709" w:rsidRDefault="00736E38" w:rsidP="00C03FA2">
      <w:pPr>
        <w:rPr>
          <w:szCs w:val="24"/>
        </w:rPr>
      </w:pPr>
      <w:r w:rsidRPr="00162E69">
        <w:rPr>
          <w:szCs w:val="24"/>
        </w:rPr>
        <w:t>Lavorazioni in subappalto assunte dall’ATI CEBAT RO.DA  inerenti   lotto Terna - Interconnessione Italia Francia che ha sviluppato una produzione nell’anno, pari ad € 1.098.988</w:t>
      </w:r>
      <w:r w:rsidR="004B6503">
        <w:rPr>
          <w:szCs w:val="24"/>
        </w:rPr>
        <w:t>.</w:t>
      </w:r>
    </w:p>
    <w:p w14:paraId="473D351A" w14:textId="28BE6A93" w:rsidR="004B6503" w:rsidRPr="00162E69" w:rsidRDefault="004B6503" w:rsidP="00C03FA2">
      <w:pPr>
        <w:rPr>
          <w:szCs w:val="24"/>
        </w:rPr>
      </w:pPr>
      <w:r>
        <w:rPr>
          <w:szCs w:val="24"/>
        </w:rPr>
        <w:t>Concorre alla formazione del su indicato valore della produzione il fatturato per la vendita di materiali prodotti negli impianti di proprietà consistenti in calcestruzzi, inerti e bitumati, per un ammontare complessivo di € 530.202</w:t>
      </w:r>
      <w:r w:rsidR="00914FE3">
        <w:rPr>
          <w:szCs w:val="24"/>
        </w:rPr>
        <w:t>,</w:t>
      </w:r>
      <w:r>
        <w:rPr>
          <w:szCs w:val="24"/>
        </w:rPr>
        <w:t xml:space="preserve"> </w:t>
      </w:r>
      <w:r>
        <w:rPr>
          <w:szCs w:val="24"/>
        </w:rPr>
        <w:lastRenderedPageBreak/>
        <w:t xml:space="preserve">di cui € 364.058 per forniture di calcestruzzi eseguite al Consorzio La Maddalena in esecuzione del contratto di fornitura calcestruzzi dell’importo di </w:t>
      </w:r>
      <w:r w:rsidR="00914FE3">
        <w:rPr>
          <w:szCs w:val="24"/>
        </w:rPr>
        <w:t xml:space="preserve">€ </w:t>
      </w:r>
      <w:r>
        <w:rPr>
          <w:szCs w:val="24"/>
        </w:rPr>
        <w:t xml:space="preserve">3.700.000. </w:t>
      </w:r>
    </w:p>
    <w:p w14:paraId="778BB99D" w14:textId="77777777" w:rsidR="004526E3" w:rsidRPr="00162E69" w:rsidRDefault="004526E3">
      <w:pPr>
        <w:pStyle w:val="Rientrocorpodeltesto2"/>
        <w:rPr>
          <w:szCs w:val="24"/>
        </w:rPr>
      </w:pPr>
    </w:p>
    <w:p w14:paraId="465CB1F9" w14:textId="77777777" w:rsidR="002E643C" w:rsidRPr="00162E69" w:rsidRDefault="007A19A9">
      <w:pPr>
        <w:rPr>
          <w:szCs w:val="24"/>
        </w:rPr>
      </w:pPr>
      <w:r w:rsidRPr="00162E69">
        <w:rPr>
          <w:szCs w:val="24"/>
        </w:rPr>
        <w:t>Per una compiuta analisi dell’andamento economico della Società si riporta la riclassificazione del Conto economico secondo il modello della produzione effettuata.</w:t>
      </w:r>
    </w:p>
    <w:p w14:paraId="6D2473B2" w14:textId="77777777" w:rsidR="00E271FA" w:rsidRPr="00162E69" w:rsidRDefault="00E271FA">
      <w:pPr>
        <w:rPr>
          <w:szCs w:val="24"/>
        </w:rPr>
      </w:pPr>
    </w:p>
    <w:tbl>
      <w:tblPr>
        <w:tblW w:w="7526" w:type="dxa"/>
        <w:tblCellMar>
          <w:left w:w="70" w:type="dxa"/>
          <w:right w:w="70" w:type="dxa"/>
        </w:tblCellMar>
        <w:tblLook w:val="04A0" w:firstRow="1" w:lastRow="0" w:firstColumn="1" w:lastColumn="0" w:noHBand="0" w:noVBand="1"/>
      </w:tblPr>
      <w:tblGrid>
        <w:gridCol w:w="7526"/>
      </w:tblGrid>
      <w:tr w:rsidR="00D52C4C" w:rsidRPr="005C7D76" w14:paraId="3A71A618" w14:textId="77777777" w:rsidTr="002D457C">
        <w:trPr>
          <w:trHeight w:val="615"/>
        </w:trPr>
        <w:tc>
          <w:tcPr>
            <w:tcW w:w="7526" w:type="dxa"/>
            <w:tcBorders>
              <w:top w:val="nil"/>
              <w:left w:val="nil"/>
              <w:bottom w:val="nil"/>
              <w:right w:val="nil"/>
            </w:tcBorders>
            <w:shd w:val="clear" w:color="000000" w:fill="C0C0C0"/>
            <w:vAlign w:val="center"/>
            <w:hideMark/>
          </w:tcPr>
          <w:p w14:paraId="2A77767E" w14:textId="77777777" w:rsidR="00162E69" w:rsidRPr="005C7D76" w:rsidRDefault="00D52C4C">
            <w:pPr>
              <w:widowControl/>
              <w:suppressAutoHyphens w:val="0"/>
              <w:overflowPunct/>
              <w:autoSpaceDE/>
              <w:autoSpaceDN/>
              <w:spacing w:line="240" w:lineRule="auto"/>
              <w:jc w:val="center"/>
              <w:textAlignment w:val="auto"/>
              <w:rPr>
                <w:b/>
                <w:bCs/>
                <w:sz w:val="20"/>
              </w:rPr>
            </w:pPr>
            <w:r w:rsidRPr="005C7D76">
              <w:rPr>
                <w:b/>
                <w:bCs/>
                <w:sz w:val="20"/>
              </w:rPr>
              <w:t xml:space="preserve">Riclassificazione del Conto Economico secondo il modello della </w:t>
            </w:r>
          </w:p>
          <w:p w14:paraId="440978F2" w14:textId="77777777" w:rsidR="00D52C4C" w:rsidRPr="005C7D76" w:rsidRDefault="00D52C4C">
            <w:pPr>
              <w:widowControl/>
              <w:suppressAutoHyphens w:val="0"/>
              <w:overflowPunct/>
              <w:autoSpaceDE/>
              <w:autoSpaceDN/>
              <w:spacing w:line="240" w:lineRule="auto"/>
              <w:jc w:val="center"/>
              <w:textAlignment w:val="auto"/>
              <w:rPr>
                <w:b/>
                <w:bCs/>
                <w:sz w:val="20"/>
              </w:rPr>
            </w:pPr>
            <w:r w:rsidRPr="005C7D76">
              <w:rPr>
                <w:b/>
                <w:bCs/>
                <w:sz w:val="20"/>
              </w:rPr>
              <w:t>c.d. "produzione effettuata"</w:t>
            </w:r>
          </w:p>
        </w:tc>
      </w:tr>
    </w:tbl>
    <w:p w14:paraId="34FDB9D1" w14:textId="77777777" w:rsidR="00162E69" w:rsidRPr="005C7D76" w:rsidRDefault="00162E69" w:rsidP="00162E69">
      <w:pPr>
        <w:jc w:val="right"/>
        <w:rPr>
          <w:sz w:val="20"/>
        </w:rPr>
      </w:pPr>
      <w:r w:rsidRPr="005C7D76">
        <w:rPr>
          <w:sz w:val="20"/>
        </w:rPr>
        <w:t>(importi in unità di euro)</w:t>
      </w:r>
    </w:p>
    <w:tbl>
      <w:tblPr>
        <w:tblW w:w="7519" w:type="dxa"/>
        <w:tblInd w:w="-10" w:type="dxa"/>
        <w:tblCellMar>
          <w:left w:w="70" w:type="dxa"/>
          <w:right w:w="70" w:type="dxa"/>
        </w:tblCellMar>
        <w:tblLook w:val="04A0" w:firstRow="1" w:lastRow="0" w:firstColumn="1" w:lastColumn="0" w:noHBand="0" w:noVBand="1"/>
      </w:tblPr>
      <w:tblGrid>
        <w:gridCol w:w="3686"/>
        <w:gridCol w:w="1701"/>
        <w:gridCol w:w="2132"/>
      </w:tblGrid>
      <w:tr w:rsidR="00162E69" w:rsidRPr="005C7D76" w14:paraId="68CC5562" w14:textId="77777777" w:rsidTr="00162E69">
        <w:trPr>
          <w:cantSplit/>
          <w:trHeight w:val="360"/>
          <w:tblHeader/>
        </w:trPr>
        <w:tc>
          <w:tcPr>
            <w:tcW w:w="3686" w:type="dxa"/>
            <w:tcBorders>
              <w:top w:val="single" w:sz="8" w:space="0" w:color="auto"/>
              <w:left w:val="single" w:sz="8" w:space="0" w:color="auto"/>
              <w:bottom w:val="single" w:sz="8" w:space="0" w:color="auto"/>
              <w:right w:val="nil"/>
            </w:tcBorders>
            <w:shd w:val="clear" w:color="000000" w:fill="C0C0C0"/>
            <w:noWrap/>
            <w:hideMark/>
          </w:tcPr>
          <w:p w14:paraId="04CE4B44" w14:textId="77777777" w:rsidR="00D52C4C" w:rsidRPr="005C7D76" w:rsidRDefault="00D52C4C">
            <w:pPr>
              <w:jc w:val="left"/>
              <w:rPr>
                <w:b/>
                <w:bCs/>
                <w:sz w:val="20"/>
              </w:rPr>
            </w:pPr>
            <w:r w:rsidRPr="005C7D76">
              <w:rPr>
                <w:b/>
                <w:bCs/>
                <w:sz w:val="20"/>
              </w:rPr>
              <w:t xml:space="preserve">Descrizione </w:t>
            </w:r>
          </w:p>
        </w:tc>
        <w:tc>
          <w:tcPr>
            <w:tcW w:w="1701" w:type="dxa"/>
            <w:tcBorders>
              <w:top w:val="single" w:sz="8" w:space="0" w:color="auto"/>
              <w:left w:val="nil"/>
              <w:bottom w:val="single" w:sz="8" w:space="0" w:color="auto"/>
              <w:right w:val="nil"/>
            </w:tcBorders>
            <w:shd w:val="clear" w:color="000000" w:fill="C0C0C0"/>
            <w:noWrap/>
            <w:hideMark/>
          </w:tcPr>
          <w:p w14:paraId="792A15FD" w14:textId="77777777" w:rsidR="00D52C4C" w:rsidRPr="005C7D76" w:rsidRDefault="00D52C4C">
            <w:pPr>
              <w:jc w:val="center"/>
              <w:rPr>
                <w:b/>
                <w:bCs/>
                <w:sz w:val="20"/>
              </w:rPr>
            </w:pPr>
            <w:r w:rsidRPr="005C7D76">
              <w:rPr>
                <w:b/>
                <w:bCs/>
                <w:sz w:val="20"/>
              </w:rPr>
              <w:t>2021</w:t>
            </w:r>
          </w:p>
        </w:tc>
        <w:tc>
          <w:tcPr>
            <w:tcW w:w="2132" w:type="dxa"/>
            <w:tcBorders>
              <w:top w:val="single" w:sz="8" w:space="0" w:color="auto"/>
              <w:left w:val="nil"/>
              <w:bottom w:val="single" w:sz="8" w:space="0" w:color="auto"/>
              <w:right w:val="single" w:sz="8" w:space="0" w:color="auto"/>
            </w:tcBorders>
            <w:shd w:val="clear" w:color="000000" w:fill="C0C0C0"/>
            <w:noWrap/>
            <w:hideMark/>
          </w:tcPr>
          <w:p w14:paraId="5E9A8425" w14:textId="77777777" w:rsidR="00D52C4C" w:rsidRPr="005C7D76" w:rsidRDefault="00D52C4C">
            <w:pPr>
              <w:jc w:val="center"/>
              <w:rPr>
                <w:b/>
                <w:bCs/>
                <w:sz w:val="20"/>
              </w:rPr>
            </w:pPr>
            <w:r w:rsidRPr="005C7D76">
              <w:rPr>
                <w:b/>
                <w:bCs/>
                <w:sz w:val="20"/>
              </w:rPr>
              <w:t>2020</w:t>
            </w:r>
          </w:p>
        </w:tc>
      </w:tr>
      <w:tr w:rsidR="00162E69" w:rsidRPr="005C7D76" w14:paraId="1B69824C" w14:textId="77777777" w:rsidTr="00162E69">
        <w:trPr>
          <w:trHeight w:val="255"/>
        </w:trPr>
        <w:tc>
          <w:tcPr>
            <w:tcW w:w="3686" w:type="dxa"/>
            <w:tcBorders>
              <w:top w:val="nil"/>
              <w:left w:val="single" w:sz="8" w:space="0" w:color="auto"/>
              <w:bottom w:val="nil"/>
              <w:right w:val="nil"/>
            </w:tcBorders>
            <w:shd w:val="clear" w:color="000000" w:fill="FFFFFF"/>
            <w:noWrap/>
            <w:vAlign w:val="bottom"/>
            <w:hideMark/>
          </w:tcPr>
          <w:p w14:paraId="01F4778F" w14:textId="77777777" w:rsidR="00D52C4C" w:rsidRPr="005C7D76" w:rsidRDefault="00D52C4C">
            <w:pPr>
              <w:jc w:val="left"/>
              <w:rPr>
                <w:sz w:val="20"/>
              </w:rPr>
            </w:pPr>
            <w:r w:rsidRPr="005C7D76">
              <w:rPr>
                <w:sz w:val="20"/>
              </w:rPr>
              <w:t>Valore della produzione</w:t>
            </w:r>
          </w:p>
        </w:tc>
        <w:tc>
          <w:tcPr>
            <w:tcW w:w="1701" w:type="dxa"/>
            <w:tcBorders>
              <w:top w:val="nil"/>
              <w:left w:val="single" w:sz="4" w:space="0" w:color="auto"/>
              <w:bottom w:val="nil"/>
              <w:right w:val="single" w:sz="4" w:space="0" w:color="auto"/>
            </w:tcBorders>
            <w:shd w:val="clear" w:color="000000" w:fill="FFFFFF"/>
            <w:noWrap/>
            <w:vAlign w:val="bottom"/>
            <w:hideMark/>
          </w:tcPr>
          <w:p w14:paraId="1A9B4C18" w14:textId="77777777" w:rsidR="00D52C4C" w:rsidRPr="005C7D76" w:rsidRDefault="00D52C4C">
            <w:pPr>
              <w:jc w:val="right"/>
              <w:rPr>
                <w:sz w:val="20"/>
              </w:rPr>
            </w:pPr>
            <w:r w:rsidRPr="005C7D76">
              <w:rPr>
                <w:sz w:val="20"/>
              </w:rPr>
              <w:t xml:space="preserve">37.218.219 </w:t>
            </w:r>
          </w:p>
        </w:tc>
        <w:tc>
          <w:tcPr>
            <w:tcW w:w="2132" w:type="dxa"/>
            <w:tcBorders>
              <w:top w:val="nil"/>
              <w:left w:val="nil"/>
              <w:bottom w:val="nil"/>
              <w:right w:val="single" w:sz="4" w:space="0" w:color="auto"/>
            </w:tcBorders>
            <w:shd w:val="clear" w:color="000000" w:fill="FFFFFF"/>
            <w:noWrap/>
            <w:vAlign w:val="bottom"/>
            <w:hideMark/>
          </w:tcPr>
          <w:p w14:paraId="52C2EF77" w14:textId="77777777" w:rsidR="00D52C4C" w:rsidRPr="005C7D76" w:rsidRDefault="00D52C4C">
            <w:pPr>
              <w:jc w:val="right"/>
              <w:rPr>
                <w:sz w:val="20"/>
              </w:rPr>
            </w:pPr>
            <w:r w:rsidRPr="005C7D76">
              <w:rPr>
                <w:sz w:val="20"/>
              </w:rPr>
              <w:t xml:space="preserve">38.825.584 </w:t>
            </w:r>
          </w:p>
        </w:tc>
      </w:tr>
      <w:tr w:rsidR="00162E69" w:rsidRPr="005C7D76" w14:paraId="03EF4394" w14:textId="77777777" w:rsidTr="00162E69">
        <w:trPr>
          <w:trHeight w:val="255"/>
        </w:trPr>
        <w:tc>
          <w:tcPr>
            <w:tcW w:w="3686" w:type="dxa"/>
            <w:tcBorders>
              <w:top w:val="nil"/>
              <w:left w:val="single" w:sz="8" w:space="0" w:color="auto"/>
              <w:bottom w:val="nil"/>
              <w:right w:val="nil"/>
            </w:tcBorders>
            <w:shd w:val="clear" w:color="000000" w:fill="FFFFFF"/>
            <w:noWrap/>
            <w:vAlign w:val="bottom"/>
            <w:hideMark/>
          </w:tcPr>
          <w:p w14:paraId="39B85DD3" w14:textId="77777777" w:rsidR="00D52C4C" w:rsidRPr="005C7D76" w:rsidRDefault="00D52C4C">
            <w:pPr>
              <w:jc w:val="left"/>
              <w:rPr>
                <w:sz w:val="20"/>
              </w:rPr>
            </w:pPr>
            <w:r w:rsidRPr="005C7D76">
              <w:rPr>
                <w:sz w:val="20"/>
              </w:rPr>
              <w:t>- consumi di materie prime</w:t>
            </w:r>
          </w:p>
        </w:tc>
        <w:tc>
          <w:tcPr>
            <w:tcW w:w="1701" w:type="dxa"/>
            <w:tcBorders>
              <w:top w:val="nil"/>
              <w:left w:val="single" w:sz="4" w:space="0" w:color="auto"/>
              <w:bottom w:val="nil"/>
              <w:right w:val="single" w:sz="4" w:space="0" w:color="auto"/>
            </w:tcBorders>
            <w:shd w:val="clear" w:color="auto" w:fill="auto"/>
            <w:noWrap/>
            <w:vAlign w:val="bottom"/>
            <w:hideMark/>
          </w:tcPr>
          <w:p w14:paraId="70F434AD" w14:textId="77777777" w:rsidR="00D52C4C" w:rsidRPr="005C7D76" w:rsidRDefault="00D52C4C">
            <w:pPr>
              <w:jc w:val="right"/>
              <w:rPr>
                <w:sz w:val="20"/>
              </w:rPr>
            </w:pPr>
            <w:r w:rsidRPr="005C7D76">
              <w:rPr>
                <w:sz w:val="20"/>
              </w:rPr>
              <w:t xml:space="preserve">-8.230.488 </w:t>
            </w:r>
          </w:p>
        </w:tc>
        <w:tc>
          <w:tcPr>
            <w:tcW w:w="2132" w:type="dxa"/>
            <w:tcBorders>
              <w:top w:val="nil"/>
              <w:left w:val="nil"/>
              <w:bottom w:val="nil"/>
              <w:right w:val="single" w:sz="4" w:space="0" w:color="auto"/>
            </w:tcBorders>
            <w:shd w:val="clear" w:color="000000" w:fill="FFFFFF"/>
            <w:noWrap/>
            <w:vAlign w:val="bottom"/>
            <w:hideMark/>
          </w:tcPr>
          <w:p w14:paraId="6395C68F" w14:textId="77777777" w:rsidR="00D52C4C" w:rsidRPr="005C7D76" w:rsidRDefault="00D52C4C">
            <w:pPr>
              <w:jc w:val="right"/>
              <w:rPr>
                <w:sz w:val="20"/>
              </w:rPr>
            </w:pPr>
            <w:r w:rsidRPr="005C7D76">
              <w:rPr>
                <w:sz w:val="20"/>
              </w:rPr>
              <w:t xml:space="preserve">-9.604.160 </w:t>
            </w:r>
          </w:p>
        </w:tc>
      </w:tr>
      <w:tr w:rsidR="00162E69" w:rsidRPr="005C7D76" w14:paraId="671E4A81" w14:textId="77777777" w:rsidTr="00162E69">
        <w:trPr>
          <w:trHeight w:val="255"/>
        </w:trPr>
        <w:tc>
          <w:tcPr>
            <w:tcW w:w="3686" w:type="dxa"/>
            <w:tcBorders>
              <w:top w:val="nil"/>
              <w:left w:val="single" w:sz="8" w:space="0" w:color="auto"/>
              <w:bottom w:val="nil"/>
              <w:right w:val="nil"/>
            </w:tcBorders>
            <w:shd w:val="clear" w:color="000000" w:fill="FFFFFF"/>
            <w:noWrap/>
            <w:vAlign w:val="bottom"/>
            <w:hideMark/>
          </w:tcPr>
          <w:p w14:paraId="0D004043" w14:textId="77777777" w:rsidR="00D52C4C" w:rsidRPr="005C7D76" w:rsidRDefault="00D52C4C">
            <w:pPr>
              <w:jc w:val="left"/>
              <w:rPr>
                <w:sz w:val="20"/>
              </w:rPr>
            </w:pPr>
            <w:r w:rsidRPr="005C7D76">
              <w:rPr>
                <w:sz w:val="20"/>
              </w:rPr>
              <w:t>- costi per altri beni e servizi</w:t>
            </w:r>
          </w:p>
        </w:tc>
        <w:tc>
          <w:tcPr>
            <w:tcW w:w="1701" w:type="dxa"/>
            <w:tcBorders>
              <w:top w:val="nil"/>
              <w:left w:val="single" w:sz="4" w:space="0" w:color="auto"/>
              <w:bottom w:val="nil"/>
              <w:right w:val="single" w:sz="4" w:space="0" w:color="auto"/>
            </w:tcBorders>
            <w:shd w:val="clear" w:color="auto" w:fill="auto"/>
            <w:noWrap/>
            <w:vAlign w:val="bottom"/>
            <w:hideMark/>
          </w:tcPr>
          <w:p w14:paraId="5DAE065B" w14:textId="77777777" w:rsidR="00D52C4C" w:rsidRPr="005C7D76" w:rsidRDefault="00D52C4C">
            <w:pPr>
              <w:jc w:val="right"/>
              <w:rPr>
                <w:sz w:val="20"/>
              </w:rPr>
            </w:pPr>
            <w:r w:rsidRPr="005C7D76">
              <w:rPr>
                <w:sz w:val="20"/>
              </w:rPr>
              <w:t xml:space="preserve">-18.902.448 </w:t>
            </w:r>
          </w:p>
        </w:tc>
        <w:tc>
          <w:tcPr>
            <w:tcW w:w="2132" w:type="dxa"/>
            <w:tcBorders>
              <w:top w:val="nil"/>
              <w:left w:val="nil"/>
              <w:bottom w:val="nil"/>
              <w:right w:val="single" w:sz="4" w:space="0" w:color="auto"/>
            </w:tcBorders>
            <w:shd w:val="clear" w:color="000000" w:fill="FFFFFF"/>
            <w:noWrap/>
            <w:vAlign w:val="bottom"/>
            <w:hideMark/>
          </w:tcPr>
          <w:p w14:paraId="7836BDDA" w14:textId="77777777" w:rsidR="00D52C4C" w:rsidRPr="005C7D76" w:rsidRDefault="00D52C4C">
            <w:pPr>
              <w:jc w:val="right"/>
              <w:rPr>
                <w:sz w:val="20"/>
              </w:rPr>
            </w:pPr>
            <w:r w:rsidRPr="005C7D76">
              <w:rPr>
                <w:sz w:val="20"/>
              </w:rPr>
              <w:t xml:space="preserve">-18.397.454 </w:t>
            </w:r>
          </w:p>
        </w:tc>
      </w:tr>
      <w:tr w:rsidR="00162E69" w:rsidRPr="005C7D76" w14:paraId="6C298377" w14:textId="77777777" w:rsidTr="00162E69">
        <w:trPr>
          <w:trHeight w:val="255"/>
        </w:trPr>
        <w:tc>
          <w:tcPr>
            <w:tcW w:w="3686" w:type="dxa"/>
            <w:tcBorders>
              <w:top w:val="nil"/>
              <w:left w:val="single" w:sz="8" w:space="0" w:color="auto"/>
              <w:bottom w:val="nil"/>
              <w:right w:val="nil"/>
            </w:tcBorders>
            <w:shd w:val="clear" w:color="000000" w:fill="FFFFFF"/>
            <w:noWrap/>
            <w:vAlign w:val="bottom"/>
            <w:hideMark/>
          </w:tcPr>
          <w:p w14:paraId="101D2FE0" w14:textId="77777777" w:rsidR="00D52C4C" w:rsidRPr="005C7D76" w:rsidRDefault="00D52C4C">
            <w:pPr>
              <w:jc w:val="left"/>
              <w:rPr>
                <w:b/>
                <w:bCs/>
                <w:sz w:val="20"/>
              </w:rPr>
            </w:pPr>
            <w:r w:rsidRPr="005C7D76">
              <w:rPr>
                <w:b/>
                <w:bCs/>
                <w:sz w:val="20"/>
              </w:rPr>
              <w:t>VALORE AGGIUNTO</w:t>
            </w:r>
          </w:p>
        </w:tc>
        <w:tc>
          <w:tcPr>
            <w:tcW w:w="1701" w:type="dxa"/>
            <w:tcBorders>
              <w:top w:val="nil"/>
              <w:left w:val="single" w:sz="4" w:space="0" w:color="auto"/>
              <w:bottom w:val="nil"/>
              <w:right w:val="single" w:sz="4" w:space="0" w:color="auto"/>
            </w:tcBorders>
            <w:shd w:val="clear" w:color="000000" w:fill="FFFFFF"/>
            <w:noWrap/>
            <w:vAlign w:val="bottom"/>
            <w:hideMark/>
          </w:tcPr>
          <w:p w14:paraId="4AC26543" w14:textId="77777777" w:rsidR="00D52C4C" w:rsidRPr="005C7D76" w:rsidRDefault="00D52C4C">
            <w:pPr>
              <w:jc w:val="right"/>
              <w:rPr>
                <w:b/>
                <w:bCs/>
                <w:sz w:val="20"/>
              </w:rPr>
            </w:pPr>
            <w:r w:rsidRPr="005C7D76">
              <w:rPr>
                <w:b/>
                <w:bCs/>
                <w:sz w:val="20"/>
              </w:rPr>
              <w:t xml:space="preserve">10.085.283 </w:t>
            </w:r>
          </w:p>
        </w:tc>
        <w:tc>
          <w:tcPr>
            <w:tcW w:w="2132" w:type="dxa"/>
            <w:tcBorders>
              <w:top w:val="nil"/>
              <w:left w:val="nil"/>
              <w:bottom w:val="nil"/>
              <w:right w:val="single" w:sz="4" w:space="0" w:color="auto"/>
            </w:tcBorders>
            <w:shd w:val="clear" w:color="000000" w:fill="FFFFFF"/>
            <w:noWrap/>
            <w:vAlign w:val="bottom"/>
            <w:hideMark/>
          </w:tcPr>
          <w:p w14:paraId="1EB3A0B8" w14:textId="77777777" w:rsidR="00D52C4C" w:rsidRPr="005C7D76" w:rsidRDefault="00D52C4C">
            <w:pPr>
              <w:jc w:val="right"/>
              <w:rPr>
                <w:b/>
                <w:bCs/>
                <w:sz w:val="20"/>
              </w:rPr>
            </w:pPr>
            <w:r w:rsidRPr="005C7D76">
              <w:rPr>
                <w:b/>
                <w:bCs/>
                <w:sz w:val="20"/>
              </w:rPr>
              <w:t xml:space="preserve">10.823.970 </w:t>
            </w:r>
          </w:p>
        </w:tc>
      </w:tr>
      <w:tr w:rsidR="00162E69" w:rsidRPr="005C7D76" w14:paraId="3A398213" w14:textId="77777777" w:rsidTr="00162E69">
        <w:trPr>
          <w:trHeight w:val="255"/>
        </w:trPr>
        <w:tc>
          <w:tcPr>
            <w:tcW w:w="3686" w:type="dxa"/>
            <w:tcBorders>
              <w:top w:val="nil"/>
              <w:left w:val="single" w:sz="8" w:space="0" w:color="auto"/>
              <w:bottom w:val="nil"/>
              <w:right w:val="nil"/>
            </w:tcBorders>
            <w:shd w:val="clear" w:color="000000" w:fill="FFFFFF"/>
            <w:noWrap/>
            <w:vAlign w:val="bottom"/>
            <w:hideMark/>
          </w:tcPr>
          <w:p w14:paraId="0FA55728" w14:textId="77777777" w:rsidR="00D52C4C" w:rsidRPr="005C7D76" w:rsidRDefault="00D52C4C">
            <w:pPr>
              <w:jc w:val="left"/>
              <w:rPr>
                <w:sz w:val="20"/>
              </w:rPr>
            </w:pPr>
            <w:r w:rsidRPr="005C7D76">
              <w:rPr>
                <w:sz w:val="20"/>
              </w:rPr>
              <w:t>- spese per lavoro dipendente</w:t>
            </w:r>
          </w:p>
        </w:tc>
        <w:tc>
          <w:tcPr>
            <w:tcW w:w="1701" w:type="dxa"/>
            <w:tcBorders>
              <w:top w:val="nil"/>
              <w:left w:val="single" w:sz="4" w:space="0" w:color="auto"/>
              <w:bottom w:val="nil"/>
              <w:right w:val="single" w:sz="4" w:space="0" w:color="auto"/>
            </w:tcBorders>
            <w:shd w:val="clear" w:color="000000" w:fill="FFFFFF"/>
            <w:noWrap/>
            <w:vAlign w:val="bottom"/>
            <w:hideMark/>
          </w:tcPr>
          <w:p w14:paraId="550D54CC" w14:textId="77777777" w:rsidR="00D52C4C" w:rsidRPr="005C7D76" w:rsidRDefault="00D52C4C">
            <w:pPr>
              <w:jc w:val="right"/>
              <w:rPr>
                <w:sz w:val="20"/>
              </w:rPr>
            </w:pPr>
            <w:r w:rsidRPr="005C7D76">
              <w:rPr>
                <w:sz w:val="20"/>
              </w:rPr>
              <w:t xml:space="preserve">-6.628.704 </w:t>
            </w:r>
          </w:p>
        </w:tc>
        <w:tc>
          <w:tcPr>
            <w:tcW w:w="2132" w:type="dxa"/>
            <w:tcBorders>
              <w:top w:val="nil"/>
              <w:left w:val="nil"/>
              <w:bottom w:val="nil"/>
              <w:right w:val="single" w:sz="4" w:space="0" w:color="auto"/>
            </w:tcBorders>
            <w:shd w:val="clear" w:color="000000" w:fill="FFFFFF"/>
            <w:noWrap/>
            <w:vAlign w:val="bottom"/>
            <w:hideMark/>
          </w:tcPr>
          <w:p w14:paraId="7B7B09F2" w14:textId="77777777" w:rsidR="00D52C4C" w:rsidRPr="005C7D76" w:rsidRDefault="00D52C4C">
            <w:pPr>
              <w:jc w:val="right"/>
              <w:rPr>
                <w:sz w:val="20"/>
              </w:rPr>
            </w:pPr>
            <w:r w:rsidRPr="005C7D76">
              <w:rPr>
                <w:sz w:val="20"/>
              </w:rPr>
              <w:t xml:space="preserve">-6.702.380 </w:t>
            </w:r>
          </w:p>
        </w:tc>
      </w:tr>
      <w:tr w:rsidR="00162E69" w:rsidRPr="005C7D76" w14:paraId="66758DC8" w14:textId="77777777" w:rsidTr="00162E69">
        <w:trPr>
          <w:trHeight w:val="255"/>
        </w:trPr>
        <w:tc>
          <w:tcPr>
            <w:tcW w:w="3686" w:type="dxa"/>
            <w:tcBorders>
              <w:top w:val="nil"/>
              <w:left w:val="single" w:sz="8" w:space="0" w:color="auto"/>
              <w:bottom w:val="nil"/>
              <w:right w:val="nil"/>
            </w:tcBorders>
            <w:shd w:val="clear" w:color="000000" w:fill="FFFFFF"/>
            <w:noWrap/>
            <w:vAlign w:val="bottom"/>
            <w:hideMark/>
          </w:tcPr>
          <w:p w14:paraId="4B3FE1CD" w14:textId="77777777" w:rsidR="00D52C4C" w:rsidRPr="005C7D76" w:rsidRDefault="00D52C4C">
            <w:pPr>
              <w:jc w:val="left"/>
              <w:rPr>
                <w:b/>
                <w:bCs/>
                <w:sz w:val="20"/>
              </w:rPr>
            </w:pPr>
            <w:r w:rsidRPr="005C7D76">
              <w:rPr>
                <w:b/>
                <w:bCs/>
                <w:sz w:val="20"/>
              </w:rPr>
              <w:t>MOL o EBITDA</w:t>
            </w:r>
          </w:p>
        </w:tc>
        <w:tc>
          <w:tcPr>
            <w:tcW w:w="1701" w:type="dxa"/>
            <w:tcBorders>
              <w:top w:val="nil"/>
              <w:left w:val="single" w:sz="4" w:space="0" w:color="auto"/>
              <w:bottom w:val="nil"/>
              <w:right w:val="single" w:sz="4" w:space="0" w:color="auto"/>
            </w:tcBorders>
            <w:shd w:val="clear" w:color="000000" w:fill="FFFFFF"/>
            <w:noWrap/>
            <w:vAlign w:val="bottom"/>
            <w:hideMark/>
          </w:tcPr>
          <w:p w14:paraId="6CC65993" w14:textId="77777777" w:rsidR="00D52C4C" w:rsidRPr="005C7D76" w:rsidRDefault="00D52C4C">
            <w:pPr>
              <w:jc w:val="right"/>
              <w:rPr>
                <w:b/>
                <w:bCs/>
                <w:sz w:val="20"/>
              </w:rPr>
            </w:pPr>
            <w:r w:rsidRPr="005C7D76">
              <w:rPr>
                <w:b/>
                <w:bCs/>
                <w:sz w:val="20"/>
              </w:rPr>
              <w:t xml:space="preserve">3.456.579 </w:t>
            </w:r>
          </w:p>
        </w:tc>
        <w:tc>
          <w:tcPr>
            <w:tcW w:w="2132" w:type="dxa"/>
            <w:tcBorders>
              <w:top w:val="nil"/>
              <w:left w:val="nil"/>
              <w:bottom w:val="nil"/>
              <w:right w:val="single" w:sz="4" w:space="0" w:color="auto"/>
            </w:tcBorders>
            <w:shd w:val="clear" w:color="000000" w:fill="FFFFFF"/>
            <w:noWrap/>
            <w:vAlign w:val="bottom"/>
            <w:hideMark/>
          </w:tcPr>
          <w:p w14:paraId="10675005" w14:textId="77777777" w:rsidR="00D52C4C" w:rsidRPr="005C7D76" w:rsidRDefault="00D52C4C">
            <w:pPr>
              <w:jc w:val="right"/>
              <w:rPr>
                <w:b/>
                <w:bCs/>
                <w:sz w:val="20"/>
              </w:rPr>
            </w:pPr>
            <w:r w:rsidRPr="005C7D76">
              <w:rPr>
                <w:b/>
                <w:bCs/>
                <w:sz w:val="20"/>
              </w:rPr>
              <w:t xml:space="preserve">4.121.590 </w:t>
            </w:r>
          </w:p>
        </w:tc>
      </w:tr>
      <w:tr w:rsidR="00162E69" w:rsidRPr="005C7D76" w14:paraId="44ED7396" w14:textId="77777777" w:rsidTr="00162E69">
        <w:trPr>
          <w:trHeight w:val="255"/>
        </w:trPr>
        <w:tc>
          <w:tcPr>
            <w:tcW w:w="3686" w:type="dxa"/>
            <w:tcBorders>
              <w:top w:val="nil"/>
              <w:left w:val="single" w:sz="8" w:space="0" w:color="auto"/>
              <w:bottom w:val="nil"/>
              <w:right w:val="nil"/>
            </w:tcBorders>
            <w:shd w:val="clear" w:color="000000" w:fill="FFFFFF"/>
            <w:noWrap/>
            <w:vAlign w:val="bottom"/>
            <w:hideMark/>
          </w:tcPr>
          <w:p w14:paraId="46CD13D0" w14:textId="77777777" w:rsidR="00D52C4C" w:rsidRPr="005C7D76" w:rsidRDefault="00D52C4C">
            <w:pPr>
              <w:jc w:val="left"/>
              <w:rPr>
                <w:sz w:val="20"/>
              </w:rPr>
            </w:pPr>
            <w:r w:rsidRPr="005C7D76">
              <w:rPr>
                <w:sz w:val="20"/>
              </w:rPr>
              <w:t>- Ammortamenti e accantonamenti</w:t>
            </w:r>
          </w:p>
        </w:tc>
        <w:tc>
          <w:tcPr>
            <w:tcW w:w="1701" w:type="dxa"/>
            <w:tcBorders>
              <w:top w:val="nil"/>
              <w:left w:val="single" w:sz="4" w:space="0" w:color="auto"/>
              <w:bottom w:val="nil"/>
              <w:right w:val="single" w:sz="4" w:space="0" w:color="auto"/>
            </w:tcBorders>
            <w:shd w:val="clear" w:color="auto" w:fill="auto"/>
            <w:noWrap/>
            <w:vAlign w:val="bottom"/>
            <w:hideMark/>
          </w:tcPr>
          <w:p w14:paraId="447DEA74" w14:textId="77777777" w:rsidR="00D52C4C" w:rsidRPr="005C7D76" w:rsidRDefault="00D52C4C">
            <w:pPr>
              <w:jc w:val="right"/>
              <w:rPr>
                <w:sz w:val="20"/>
              </w:rPr>
            </w:pPr>
            <w:r w:rsidRPr="005C7D76">
              <w:rPr>
                <w:sz w:val="20"/>
              </w:rPr>
              <w:t xml:space="preserve">-828.570 </w:t>
            </w:r>
          </w:p>
        </w:tc>
        <w:tc>
          <w:tcPr>
            <w:tcW w:w="2132" w:type="dxa"/>
            <w:tcBorders>
              <w:top w:val="nil"/>
              <w:left w:val="nil"/>
              <w:bottom w:val="nil"/>
              <w:right w:val="single" w:sz="4" w:space="0" w:color="auto"/>
            </w:tcBorders>
            <w:shd w:val="clear" w:color="000000" w:fill="FFFFFF"/>
            <w:noWrap/>
            <w:vAlign w:val="bottom"/>
            <w:hideMark/>
          </w:tcPr>
          <w:p w14:paraId="2D984074" w14:textId="77777777" w:rsidR="00D52C4C" w:rsidRPr="005C7D76" w:rsidRDefault="00D52C4C">
            <w:pPr>
              <w:jc w:val="right"/>
              <w:rPr>
                <w:sz w:val="20"/>
              </w:rPr>
            </w:pPr>
            <w:r w:rsidRPr="005C7D76">
              <w:rPr>
                <w:sz w:val="20"/>
              </w:rPr>
              <w:t xml:space="preserve">-899.313 </w:t>
            </w:r>
          </w:p>
        </w:tc>
      </w:tr>
      <w:tr w:rsidR="00162E69" w:rsidRPr="005C7D76" w14:paraId="119A4A4B" w14:textId="77777777" w:rsidTr="00162E69">
        <w:trPr>
          <w:trHeight w:val="255"/>
        </w:trPr>
        <w:tc>
          <w:tcPr>
            <w:tcW w:w="3686" w:type="dxa"/>
            <w:tcBorders>
              <w:top w:val="nil"/>
              <w:left w:val="single" w:sz="8" w:space="0" w:color="auto"/>
              <w:bottom w:val="nil"/>
              <w:right w:val="nil"/>
            </w:tcBorders>
            <w:shd w:val="clear" w:color="000000" w:fill="FFFFFF"/>
            <w:noWrap/>
            <w:vAlign w:val="bottom"/>
            <w:hideMark/>
          </w:tcPr>
          <w:p w14:paraId="64782C57" w14:textId="77777777" w:rsidR="00D52C4C" w:rsidRPr="005C7D76" w:rsidRDefault="00D52C4C">
            <w:pPr>
              <w:jc w:val="left"/>
              <w:rPr>
                <w:b/>
                <w:bCs/>
                <w:sz w:val="20"/>
              </w:rPr>
            </w:pPr>
            <w:r w:rsidRPr="005C7D76">
              <w:rPr>
                <w:b/>
                <w:bCs/>
                <w:sz w:val="20"/>
              </w:rPr>
              <w:t>REDDITO OPERATIVO (EBIT)</w:t>
            </w:r>
          </w:p>
        </w:tc>
        <w:tc>
          <w:tcPr>
            <w:tcW w:w="1701" w:type="dxa"/>
            <w:tcBorders>
              <w:top w:val="nil"/>
              <w:left w:val="single" w:sz="4" w:space="0" w:color="auto"/>
              <w:bottom w:val="nil"/>
              <w:right w:val="single" w:sz="4" w:space="0" w:color="auto"/>
            </w:tcBorders>
            <w:shd w:val="clear" w:color="000000" w:fill="FFFFFF"/>
            <w:noWrap/>
            <w:vAlign w:val="bottom"/>
            <w:hideMark/>
          </w:tcPr>
          <w:p w14:paraId="7149E031" w14:textId="77777777" w:rsidR="00D52C4C" w:rsidRPr="005C7D76" w:rsidRDefault="00D52C4C">
            <w:pPr>
              <w:jc w:val="right"/>
              <w:rPr>
                <w:b/>
                <w:bCs/>
                <w:sz w:val="20"/>
              </w:rPr>
            </w:pPr>
            <w:r w:rsidRPr="005C7D76">
              <w:rPr>
                <w:b/>
                <w:bCs/>
                <w:sz w:val="20"/>
              </w:rPr>
              <w:t xml:space="preserve">2.628.009 </w:t>
            </w:r>
          </w:p>
        </w:tc>
        <w:tc>
          <w:tcPr>
            <w:tcW w:w="2132" w:type="dxa"/>
            <w:tcBorders>
              <w:top w:val="nil"/>
              <w:left w:val="nil"/>
              <w:bottom w:val="nil"/>
              <w:right w:val="single" w:sz="4" w:space="0" w:color="auto"/>
            </w:tcBorders>
            <w:shd w:val="clear" w:color="000000" w:fill="FFFFFF"/>
            <w:noWrap/>
            <w:vAlign w:val="bottom"/>
            <w:hideMark/>
          </w:tcPr>
          <w:p w14:paraId="3A2AA8CB" w14:textId="77777777" w:rsidR="00D52C4C" w:rsidRPr="005C7D76" w:rsidRDefault="00D52C4C">
            <w:pPr>
              <w:jc w:val="right"/>
              <w:rPr>
                <w:b/>
                <w:bCs/>
                <w:sz w:val="20"/>
              </w:rPr>
            </w:pPr>
            <w:r w:rsidRPr="005C7D76">
              <w:rPr>
                <w:b/>
                <w:bCs/>
                <w:sz w:val="20"/>
              </w:rPr>
              <w:t xml:space="preserve">3.222.277 </w:t>
            </w:r>
          </w:p>
        </w:tc>
      </w:tr>
      <w:tr w:rsidR="00162E69" w:rsidRPr="005C7D76" w14:paraId="7E9FFBEB" w14:textId="77777777" w:rsidTr="00162E69">
        <w:trPr>
          <w:trHeight w:val="255"/>
        </w:trPr>
        <w:tc>
          <w:tcPr>
            <w:tcW w:w="3686" w:type="dxa"/>
            <w:tcBorders>
              <w:top w:val="nil"/>
              <w:left w:val="single" w:sz="8" w:space="0" w:color="auto"/>
              <w:bottom w:val="nil"/>
              <w:right w:val="nil"/>
            </w:tcBorders>
            <w:shd w:val="clear" w:color="000000" w:fill="FFFFFF"/>
            <w:noWrap/>
            <w:vAlign w:val="bottom"/>
            <w:hideMark/>
          </w:tcPr>
          <w:p w14:paraId="6720CADA" w14:textId="77777777" w:rsidR="00D52C4C" w:rsidRPr="005C7D76" w:rsidRDefault="00D52C4C">
            <w:pPr>
              <w:jc w:val="left"/>
              <w:rPr>
                <w:sz w:val="20"/>
              </w:rPr>
            </w:pPr>
            <w:r w:rsidRPr="005C7D76">
              <w:rPr>
                <w:sz w:val="20"/>
              </w:rPr>
              <w:t>+/- Reddito della gestione atipica</w:t>
            </w:r>
          </w:p>
        </w:tc>
        <w:tc>
          <w:tcPr>
            <w:tcW w:w="1701" w:type="dxa"/>
            <w:tcBorders>
              <w:top w:val="nil"/>
              <w:left w:val="single" w:sz="4" w:space="0" w:color="auto"/>
              <w:bottom w:val="nil"/>
              <w:right w:val="single" w:sz="4" w:space="0" w:color="auto"/>
            </w:tcBorders>
            <w:shd w:val="clear" w:color="000000" w:fill="FFFFFF"/>
            <w:noWrap/>
            <w:vAlign w:val="bottom"/>
            <w:hideMark/>
          </w:tcPr>
          <w:p w14:paraId="70130275" w14:textId="77777777" w:rsidR="00D52C4C" w:rsidRPr="005C7D76" w:rsidRDefault="00D52C4C">
            <w:pPr>
              <w:jc w:val="right"/>
              <w:rPr>
                <w:sz w:val="20"/>
              </w:rPr>
            </w:pPr>
            <w:r w:rsidRPr="005C7D76">
              <w:rPr>
                <w:sz w:val="20"/>
              </w:rPr>
              <w:t xml:space="preserve">151.588 </w:t>
            </w:r>
          </w:p>
        </w:tc>
        <w:tc>
          <w:tcPr>
            <w:tcW w:w="2132" w:type="dxa"/>
            <w:tcBorders>
              <w:top w:val="nil"/>
              <w:left w:val="nil"/>
              <w:bottom w:val="nil"/>
              <w:right w:val="single" w:sz="4" w:space="0" w:color="auto"/>
            </w:tcBorders>
            <w:shd w:val="clear" w:color="000000" w:fill="FFFFFF"/>
            <w:noWrap/>
            <w:vAlign w:val="bottom"/>
            <w:hideMark/>
          </w:tcPr>
          <w:p w14:paraId="2452269C" w14:textId="77777777" w:rsidR="00D52C4C" w:rsidRPr="005C7D76" w:rsidRDefault="00D52C4C">
            <w:pPr>
              <w:jc w:val="right"/>
              <w:rPr>
                <w:sz w:val="20"/>
              </w:rPr>
            </w:pPr>
            <w:r w:rsidRPr="005C7D76">
              <w:rPr>
                <w:sz w:val="20"/>
              </w:rPr>
              <w:t xml:space="preserve">85.536 </w:t>
            </w:r>
          </w:p>
        </w:tc>
      </w:tr>
      <w:tr w:rsidR="00162E69" w:rsidRPr="005C7D76" w14:paraId="01477497" w14:textId="77777777" w:rsidTr="00162E69">
        <w:trPr>
          <w:trHeight w:val="255"/>
        </w:trPr>
        <w:tc>
          <w:tcPr>
            <w:tcW w:w="3686" w:type="dxa"/>
            <w:tcBorders>
              <w:top w:val="nil"/>
              <w:left w:val="single" w:sz="8" w:space="0" w:color="auto"/>
              <w:bottom w:val="nil"/>
              <w:right w:val="nil"/>
            </w:tcBorders>
            <w:shd w:val="clear" w:color="000000" w:fill="FFFFFF"/>
            <w:noWrap/>
            <w:vAlign w:val="bottom"/>
            <w:hideMark/>
          </w:tcPr>
          <w:p w14:paraId="5A9070FD" w14:textId="77777777" w:rsidR="00D52C4C" w:rsidRPr="005C7D76" w:rsidRDefault="00D52C4C">
            <w:pPr>
              <w:jc w:val="left"/>
              <w:rPr>
                <w:sz w:val="20"/>
              </w:rPr>
            </w:pPr>
            <w:r w:rsidRPr="005C7D76">
              <w:rPr>
                <w:sz w:val="20"/>
              </w:rPr>
              <w:t>+/- Reddito della gestione finanziaria</w:t>
            </w:r>
          </w:p>
        </w:tc>
        <w:tc>
          <w:tcPr>
            <w:tcW w:w="1701" w:type="dxa"/>
            <w:tcBorders>
              <w:top w:val="nil"/>
              <w:left w:val="single" w:sz="4" w:space="0" w:color="auto"/>
              <w:bottom w:val="nil"/>
              <w:right w:val="single" w:sz="4" w:space="0" w:color="auto"/>
            </w:tcBorders>
            <w:shd w:val="clear" w:color="auto" w:fill="auto"/>
            <w:noWrap/>
            <w:vAlign w:val="bottom"/>
            <w:hideMark/>
          </w:tcPr>
          <w:p w14:paraId="724B753F" w14:textId="77777777" w:rsidR="00D52C4C" w:rsidRPr="005C7D76" w:rsidRDefault="00D52C4C">
            <w:pPr>
              <w:jc w:val="right"/>
              <w:rPr>
                <w:sz w:val="20"/>
              </w:rPr>
            </w:pPr>
            <w:r w:rsidRPr="005C7D76">
              <w:rPr>
                <w:sz w:val="20"/>
              </w:rPr>
              <w:t xml:space="preserve">-201.523 </w:t>
            </w:r>
          </w:p>
        </w:tc>
        <w:tc>
          <w:tcPr>
            <w:tcW w:w="2132" w:type="dxa"/>
            <w:tcBorders>
              <w:top w:val="nil"/>
              <w:left w:val="nil"/>
              <w:bottom w:val="nil"/>
              <w:right w:val="single" w:sz="4" w:space="0" w:color="auto"/>
            </w:tcBorders>
            <w:shd w:val="clear" w:color="000000" w:fill="FFFFFF"/>
            <w:noWrap/>
            <w:vAlign w:val="bottom"/>
            <w:hideMark/>
          </w:tcPr>
          <w:p w14:paraId="53DDDBD6" w14:textId="77777777" w:rsidR="00D52C4C" w:rsidRPr="005C7D76" w:rsidRDefault="00D52C4C">
            <w:pPr>
              <w:jc w:val="right"/>
              <w:rPr>
                <w:sz w:val="20"/>
              </w:rPr>
            </w:pPr>
            <w:r w:rsidRPr="005C7D76">
              <w:rPr>
                <w:sz w:val="20"/>
              </w:rPr>
              <w:t xml:space="preserve">-235.966 </w:t>
            </w:r>
          </w:p>
        </w:tc>
      </w:tr>
      <w:tr w:rsidR="00162E69" w:rsidRPr="005C7D76" w14:paraId="729743F8" w14:textId="77777777" w:rsidTr="00162E69">
        <w:trPr>
          <w:trHeight w:val="255"/>
        </w:trPr>
        <w:tc>
          <w:tcPr>
            <w:tcW w:w="3686" w:type="dxa"/>
            <w:tcBorders>
              <w:top w:val="nil"/>
              <w:left w:val="single" w:sz="8" w:space="0" w:color="auto"/>
              <w:bottom w:val="nil"/>
              <w:right w:val="nil"/>
            </w:tcBorders>
            <w:shd w:val="clear" w:color="000000" w:fill="FFFFFF"/>
            <w:noWrap/>
            <w:vAlign w:val="bottom"/>
            <w:hideMark/>
          </w:tcPr>
          <w:p w14:paraId="2D508226" w14:textId="77777777" w:rsidR="00D52C4C" w:rsidRPr="005C7D76" w:rsidRDefault="00D52C4C">
            <w:pPr>
              <w:jc w:val="left"/>
              <w:rPr>
                <w:b/>
                <w:bCs/>
                <w:sz w:val="20"/>
              </w:rPr>
            </w:pPr>
            <w:r w:rsidRPr="005C7D76">
              <w:rPr>
                <w:b/>
                <w:bCs/>
                <w:sz w:val="20"/>
              </w:rPr>
              <w:t>REDDITO CORRENTE</w:t>
            </w:r>
          </w:p>
        </w:tc>
        <w:tc>
          <w:tcPr>
            <w:tcW w:w="1701" w:type="dxa"/>
            <w:tcBorders>
              <w:top w:val="nil"/>
              <w:left w:val="single" w:sz="4" w:space="0" w:color="auto"/>
              <w:bottom w:val="nil"/>
              <w:right w:val="single" w:sz="4" w:space="0" w:color="auto"/>
            </w:tcBorders>
            <w:shd w:val="clear" w:color="000000" w:fill="FFFFFF"/>
            <w:noWrap/>
            <w:vAlign w:val="bottom"/>
            <w:hideMark/>
          </w:tcPr>
          <w:p w14:paraId="049DB59D" w14:textId="77777777" w:rsidR="00D52C4C" w:rsidRPr="005C7D76" w:rsidRDefault="00D52C4C">
            <w:pPr>
              <w:jc w:val="right"/>
              <w:rPr>
                <w:b/>
                <w:bCs/>
                <w:sz w:val="20"/>
              </w:rPr>
            </w:pPr>
            <w:r w:rsidRPr="005C7D76">
              <w:rPr>
                <w:b/>
                <w:bCs/>
                <w:sz w:val="20"/>
              </w:rPr>
              <w:t xml:space="preserve">2.578.074 </w:t>
            </w:r>
          </w:p>
        </w:tc>
        <w:tc>
          <w:tcPr>
            <w:tcW w:w="2132" w:type="dxa"/>
            <w:tcBorders>
              <w:top w:val="nil"/>
              <w:left w:val="nil"/>
              <w:bottom w:val="nil"/>
              <w:right w:val="single" w:sz="4" w:space="0" w:color="auto"/>
            </w:tcBorders>
            <w:shd w:val="clear" w:color="000000" w:fill="FFFFFF"/>
            <w:noWrap/>
            <w:vAlign w:val="bottom"/>
            <w:hideMark/>
          </w:tcPr>
          <w:p w14:paraId="314D03CB" w14:textId="77777777" w:rsidR="00D52C4C" w:rsidRPr="005C7D76" w:rsidRDefault="00D52C4C">
            <w:pPr>
              <w:jc w:val="right"/>
              <w:rPr>
                <w:b/>
                <w:bCs/>
                <w:sz w:val="20"/>
              </w:rPr>
            </w:pPr>
            <w:r w:rsidRPr="005C7D76">
              <w:rPr>
                <w:b/>
                <w:bCs/>
                <w:sz w:val="20"/>
              </w:rPr>
              <w:t xml:space="preserve">3.071.847 </w:t>
            </w:r>
          </w:p>
        </w:tc>
      </w:tr>
      <w:tr w:rsidR="00162E69" w:rsidRPr="005C7D76" w14:paraId="37A61764" w14:textId="77777777" w:rsidTr="00162E69">
        <w:trPr>
          <w:trHeight w:val="255"/>
        </w:trPr>
        <w:tc>
          <w:tcPr>
            <w:tcW w:w="3686" w:type="dxa"/>
            <w:tcBorders>
              <w:top w:val="nil"/>
              <w:left w:val="single" w:sz="8" w:space="0" w:color="auto"/>
              <w:bottom w:val="nil"/>
              <w:right w:val="nil"/>
            </w:tcBorders>
            <w:shd w:val="clear" w:color="000000" w:fill="FFFFFF"/>
            <w:noWrap/>
            <w:vAlign w:val="bottom"/>
            <w:hideMark/>
          </w:tcPr>
          <w:p w14:paraId="301772A6" w14:textId="77777777" w:rsidR="00D52C4C" w:rsidRPr="005C7D76" w:rsidRDefault="00D52C4C">
            <w:pPr>
              <w:jc w:val="left"/>
              <w:rPr>
                <w:sz w:val="20"/>
              </w:rPr>
            </w:pPr>
            <w:r w:rsidRPr="005C7D76">
              <w:rPr>
                <w:sz w:val="20"/>
              </w:rPr>
              <w:t>+/- Reddito della gestione straordinaria</w:t>
            </w:r>
          </w:p>
        </w:tc>
        <w:tc>
          <w:tcPr>
            <w:tcW w:w="1701" w:type="dxa"/>
            <w:tcBorders>
              <w:top w:val="nil"/>
              <w:left w:val="single" w:sz="4" w:space="0" w:color="auto"/>
              <w:bottom w:val="nil"/>
              <w:right w:val="single" w:sz="4" w:space="0" w:color="auto"/>
            </w:tcBorders>
            <w:shd w:val="clear" w:color="auto" w:fill="auto"/>
            <w:noWrap/>
            <w:vAlign w:val="bottom"/>
            <w:hideMark/>
          </w:tcPr>
          <w:p w14:paraId="0E961B9B" w14:textId="77777777" w:rsidR="00D52C4C" w:rsidRPr="005C7D76" w:rsidRDefault="00D52C4C">
            <w:pPr>
              <w:rPr>
                <w:sz w:val="20"/>
              </w:rPr>
            </w:pPr>
            <w:r w:rsidRPr="005C7D76">
              <w:rPr>
                <w:sz w:val="20"/>
              </w:rPr>
              <w:t> </w:t>
            </w:r>
          </w:p>
        </w:tc>
        <w:tc>
          <w:tcPr>
            <w:tcW w:w="2132" w:type="dxa"/>
            <w:tcBorders>
              <w:top w:val="nil"/>
              <w:left w:val="nil"/>
              <w:bottom w:val="nil"/>
              <w:right w:val="single" w:sz="4" w:space="0" w:color="auto"/>
            </w:tcBorders>
            <w:shd w:val="clear" w:color="000000" w:fill="FFFFFF"/>
            <w:noWrap/>
            <w:vAlign w:val="bottom"/>
            <w:hideMark/>
          </w:tcPr>
          <w:p w14:paraId="2FADBFDC" w14:textId="77777777" w:rsidR="00D52C4C" w:rsidRPr="005C7D76" w:rsidRDefault="00D52C4C">
            <w:pPr>
              <w:rPr>
                <w:sz w:val="20"/>
              </w:rPr>
            </w:pPr>
            <w:r w:rsidRPr="005C7D76">
              <w:rPr>
                <w:sz w:val="20"/>
              </w:rPr>
              <w:t> </w:t>
            </w:r>
          </w:p>
        </w:tc>
      </w:tr>
      <w:tr w:rsidR="00162E69" w:rsidRPr="005C7D76" w14:paraId="09D8EE20" w14:textId="77777777" w:rsidTr="00162E69">
        <w:trPr>
          <w:trHeight w:val="255"/>
        </w:trPr>
        <w:tc>
          <w:tcPr>
            <w:tcW w:w="3686" w:type="dxa"/>
            <w:tcBorders>
              <w:top w:val="nil"/>
              <w:left w:val="single" w:sz="8" w:space="0" w:color="auto"/>
              <w:bottom w:val="nil"/>
              <w:right w:val="nil"/>
            </w:tcBorders>
            <w:shd w:val="clear" w:color="000000" w:fill="FFFFFF"/>
            <w:noWrap/>
            <w:vAlign w:val="bottom"/>
            <w:hideMark/>
          </w:tcPr>
          <w:p w14:paraId="79DC2134" w14:textId="77777777" w:rsidR="00D52C4C" w:rsidRPr="005C7D76" w:rsidRDefault="00D52C4C">
            <w:pPr>
              <w:rPr>
                <w:b/>
                <w:bCs/>
                <w:sz w:val="20"/>
              </w:rPr>
            </w:pPr>
            <w:r w:rsidRPr="005C7D76">
              <w:rPr>
                <w:b/>
                <w:bCs/>
                <w:sz w:val="20"/>
              </w:rPr>
              <w:t>REDDITO ANTE IMPOSTE</w:t>
            </w:r>
          </w:p>
        </w:tc>
        <w:tc>
          <w:tcPr>
            <w:tcW w:w="1701" w:type="dxa"/>
            <w:tcBorders>
              <w:top w:val="nil"/>
              <w:left w:val="single" w:sz="4" w:space="0" w:color="auto"/>
              <w:bottom w:val="nil"/>
              <w:right w:val="single" w:sz="4" w:space="0" w:color="auto"/>
            </w:tcBorders>
            <w:shd w:val="clear" w:color="000000" w:fill="FFFFFF"/>
            <w:noWrap/>
            <w:vAlign w:val="bottom"/>
            <w:hideMark/>
          </w:tcPr>
          <w:p w14:paraId="0CF2CBD8" w14:textId="77777777" w:rsidR="00D52C4C" w:rsidRPr="005C7D76" w:rsidRDefault="00D52C4C">
            <w:pPr>
              <w:jc w:val="right"/>
              <w:rPr>
                <w:b/>
                <w:bCs/>
                <w:sz w:val="20"/>
              </w:rPr>
            </w:pPr>
            <w:r w:rsidRPr="005C7D76">
              <w:rPr>
                <w:b/>
                <w:bCs/>
                <w:sz w:val="20"/>
              </w:rPr>
              <w:t xml:space="preserve">2.578.074 </w:t>
            </w:r>
          </w:p>
        </w:tc>
        <w:tc>
          <w:tcPr>
            <w:tcW w:w="2132" w:type="dxa"/>
            <w:tcBorders>
              <w:top w:val="nil"/>
              <w:left w:val="nil"/>
              <w:bottom w:val="nil"/>
              <w:right w:val="single" w:sz="4" w:space="0" w:color="auto"/>
            </w:tcBorders>
            <w:shd w:val="clear" w:color="000000" w:fill="FFFFFF"/>
            <w:noWrap/>
            <w:vAlign w:val="bottom"/>
            <w:hideMark/>
          </w:tcPr>
          <w:p w14:paraId="5982CBFF" w14:textId="77777777" w:rsidR="00D52C4C" w:rsidRPr="005C7D76" w:rsidRDefault="00D52C4C">
            <w:pPr>
              <w:jc w:val="right"/>
              <w:rPr>
                <w:b/>
                <w:bCs/>
                <w:sz w:val="20"/>
              </w:rPr>
            </w:pPr>
            <w:r w:rsidRPr="005C7D76">
              <w:rPr>
                <w:b/>
                <w:bCs/>
                <w:sz w:val="20"/>
              </w:rPr>
              <w:t xml:space="preserve">3.071.847 </w:t>
            </w:r>
          </w:p>
        </w:tc>
      </w:tr>
      <w:tr w:rsidR="00162E69" w:rsidRPr="005C7D76" w14:paraId="1907DD4C" w14:textId="77777777" w:rsidTr="00162E69">
        <w:trPr>
          <w:trHeight w:val="255"/>
        </w:trPr>
        <w:tc>
          <w:tcPr>
            <w:tcW w:w="3686" w:type="dxa"/>
            <w:tcBorders>
              <w:top w:val="nil"/>
              <w:left w:val="single" w:sz="8" w:space="0" w:color="auto"/>
              <w:bottom w:val="nil"/>
              <w:right w:val="nil"/>
            </w:tcBorders>
            <w:shd w:val="clear" w:color="000000" w:fill="FFFFFF"/>
            <w:noWrap/>
            <w:vAlign w:val="bottom"/>
            <w:hideMark/>
          </w:tcPr>
          <w:p w14:paraId="6233F819" w14:textId="77777777" w:rsidR="00D52C4C" w:rsidRPr="005C7D76" w:rsidRDefault="00D52C4C">
            <w:pPr>
              <w:jc w:val="left"/>
              <w:rPr>
                <w:sz w:val="20"/>
              </w:rPr>
            </w:pPr>
            <w:r w:rsidRPr="005C7D76">
              <w:rPr>
                <w:sz w:val="20"/>
              </w:rPr>
              <w:t>- Imposte sul reddito</w:t>
            </w:r>
          </w:p>
        </w:tc>
        <w:tc>
          <w:tcPr>
            <w:tcW w:w="1701" w:type="dxa"/>
            <w:tcBorders>
              <w:top w:val="nil"/>
              <w:left w:val="single" w:sz="4" w:space="0" w:color="auto"/>
              <w:bottom w:val="nil"/>
              <w:right w:val="single" w:sz="4" w:space="0" w:color="auto"/>
            </w:tcBorders>
            <w:shd w:val="clear" w:color="auto" w:fill="auto"/>
            <w:noWrap/>
            <w:vAlign w:val="bottom"/>
            <w:hideMark/>
          </w:tcPr>
          <w:p w14:paraId="7EC1B2F1" w14:textId="77777777" w:rsidR="00D52C4C" w:rsidRPr="005C7D76" w:rsidRDefault="00D52C4C">
            <w:pPr>
              <w:jc w:val="right"/>
              <w:rPr>
                <w:sz w:val="20"/>
              </w:rPr>
            </w:pPr>
            <w:r w:rsidRPr="005C7D76">
              <w:rPr>
                <w:sz w:val="20"/>
              </w:rPr>
              <w:t xml:space="preserve">-664.346 </w:t>
            </w:r>
          </w:p>
        </w:tc>
        <w:tc>
          <w:tcPr>
            <w:tcW w:w="2132" w:type="dxa"/>
            <w:tcBorders>
              <w:top w:val="nil"/>
              <w:left w:val="nil"/>
              <w:bottom w:val="nil"/>
              <w:right w:val="single" w:sz="4" w:space="0" w:color="auto"/>
            </w:tcBorders>
            <w:shd w:val="clear" w:color="000000" w:fill="FFFFFF"/>
            <w:noWrap/>
            <w:vAlign w:val="bottom"/>
            <w:hideMark/>
          </w:tcPr>
          <w:p w14:paraId="67FABBEA" w14:textId="77777777" w:rsidR="00D52C4C" w:rsidRPr="005C7D76" w:rsidRDefault="00D52C4C">
            <w:pPr>
              <w:jc w:val="right"/>
              <w:rPr>
                <w:sz w:val="20"/>
              </w:rPr>
            </w:pPr>
            <w:r w:rsidRPr="005C7D76">
              <w:rPr>
                <w:sz w:val="20"/>
              </w:rPr>
              <w:t xml:space="preserve">-875.674 </w:t>
            </w:r>
          </w:p>
        </w:tc>
      </w:tr>
      <w:tr w:rsidR="00162E69" w:rsidRPr="005C7D76" w14:paraId="68EA2AD4" w14:textId="77777777" w:rsidTr="00162E69">
        <w:trPr>
          <w:trHeight w:val="270"/>
        </w:trPr>
        <w:tc>
          <w:tcPr>
            <w:tcW w:w="3686" w:type="dxa"/>
            <w:tcBorders>
              <w:top w:val="nil"/>
              <w:left w:val="single" w:sz="8" w:space="0" w:color="auto"/>
              <w:bottom w:val="single" w:sz="8" w:space="0" w:color="auto"/>
              <w:right w:val="nil"/>
            </w:tcBorders>
            <w:shd w:val="clear" w:color="000000" w:fill="FFFFFF"/>
            <w:noWrap/>
            <w:vAlign w:val="bottom"/>
            <w:hideMark/>
          </w:tcPr>
          <w:p w14:paraId="5DC1658E" w14:textId="77777777" w:rsidR="00D52C4C" w:rsidRPr="005C7D76" w:rsidRDefault="00D52C4C">
            <w:pPr>
              <w:jc w:val="left"/>
              <w:rPr>
                <w:b/>
                <w:bCs/>
                <w:sz w:val="20"/>
              </w:rPr>
            </w:pPr>
            <w:r w:rsidRPr="005C7D76">
              <w:rPr>
                <w:b/>
                <w:bCs/>
                <w:sz w:val="20"/>
              </w:rPr>
              <w:t>REDDITO NETTO (Rn)</w:t>
            </w:r>
          </w:p>
        </w:tc>
        <w:tc>
          <w:tcPr>
            <w:tcW w:w="1701" w:type="dxa"/>
            <w:tcBorders>
              <w:top w:val="nil"/>
              <w:left w:val="single" w:sz="4" w:space="0" w:color="auto"/>
              <w:bottom w:val="single" w:sz="8" w:space="0" w:color="auto"/>
              <w:right w:val="single" w:sz="4" w:space="0" w:color="auto"/>
            </w:tcBorders>
            <w:shd w:val="clear" w:color="000000" w:fill="FFFFFF"/>
            <w:noWrap/>
            <w:vAlign w:val="bottom"/>
            <w:hideMark/>
          </w:tcPr>
          <w:p w14:paraId="5F61D439" w14:textId="77777777" w:rsidR="00D52C4C" w:rsidRPr="005C7D76" w:rsidRDefault="00D52C4C">
            <w:pPr>
              <w:jc w:val="right"/>
              <w:rPr>
                <w:b/>
                <w:bCs/>
                <w:sz w:val="20"/>
              </w:rPr>
            </w:pPr>
            <w:r w:rsidRPr="005C7D76">
              <w:rPr>
                <w:b/>
                <w:bCs/>
                <w:sz w:val="20"/>
              </w:rPr>
              <w:t xml:space="preserve">1.913.728 </w:t>
            </w:r>
          </w:p>
        </w:tc>
        <w:tc>
          <w:tcPr>
            <w:tcW w:w="2132" w:type="dxa"/>
            <w:tcBorders>
              <w:top w:val="nil"/>
              <w:left w:val="nil"/>
              <w:bottom w:val="single" w:sz="8" w:space="0" w:color="auto"/>
              <w:right w:val="single" w:sz="4" w:space="0" w:color="auto"/>
            </w:tcBorders>
            <w:shd w:val="clear" w:color="000000" w:fill="FFFFFF"/>
            <w:noWrap/>
            <w:vAlign w:val="bottom"/>
            <w:hideMark/>
          </w:tcPr>
          <w:p w14:paraId="47176E2A" w14:textId="77777777" w:rsidR="00D52C4C" w:rsidRPr="005C7D76" w:rsidRDefault="00D52C4C">
            <w:pPr>
              <w:jc w:val="right"/>
              <w:rPr>
                <w:b/>
                <w:bCs/>
                <w:sz w:val="20"/>
              </w:rPr>
            </w:pPr>
            <w:r w:rsidRPr="005C7D76">
              <w:rPr>
                <w:b/>
                <w:bCs/>
                <w:sz w:val="20"/>
              </w:rPr>
              <w:t xml:space="preserve">2.196.173 </w:t>
            </w:r>
          </w:p>
        </w:tc>
      </w:tr>
    </w:tbl>
    <w:p w14:paraId="7A7A0498" w14:textId="77777777" w:rsidR="002E643C" w:rsidRPr="00162E69" w:rsidRDefault="007A19A9">
      <w:pPr>
        <w:rPr>
          <w:szCs w:val="24"/>
        </w:rPr>
      </w:pPr>
      <w:r w:rsidRPr="00162E69">
        <w:rPr>
          <w:szCs w:val="24"/>
        </w:rPr>
        <w:lastRenderedPageBreak/>
        <w:t xml:space="preserve">Le variazioni dei principali dati economici </w:t>
      </w:r>
      <w:r w:rsidR="00D52C4C" w:rsidRPr="00162E69">
        <w:rPr>
          <w:szCs w:val="24"/>
        </w:rPr>
        <w:t xml:space="preserve">2021 </w:t>
      </w:r>
      <w:r w:rsidRPr="00162E69">
        <w:rPr>
          <w:szCs w:val="24"/>
        </w:rPr>
        <w:t xml:space="preserve">confrontati con quelli del </w:t>
      </w:r>
      <w:r w:rsidR="00D52C4C" w:rsidRPr="00162E69">
        <w:rPr>
          <w:szCs w:val="24"/>
        </w:rPr>
        <w:t xml:space="preserve">2020 </w:t>
      </w:r>
      <w:r w:rsidRPr="00162E69">
        <w:rPr>
          <w:szCs w:val="24"/>
        </w:rPr>
        <w:t>sono espost</w:t>
      </w:r>
      <w:r w:rsidR="00672F50" w:rsidRPr="00162E69">
        <w:rPr>
          <w:szCs w:val="24"/>
        </w:rPr>
        <w:t>e</w:t>
      </w:r>
      <w:r w:rsidRPr="00162E69">
        <w:rPr>
          <w:szCs w:val="24"/>
        </w:rPr>
        <w:t xml:space="preserve"> nella seguente tabella.</w:t>
      </w:r>
    </w:p>
    <w:tbl>
      <w:tblPr>
        <w:tblW w:w="7655" w:type="dxa"/>
        <w:jc w:val="center"/>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4A0" w:firstRow="1" w:lastRow="0" w:firstColumn="1" w:lastColumn="0" w:noHBand="0" w:noVBand="1"/>
      </w:tblPr>
      <w:tblGrid>
        <w:gridCol w:w="3686"/>
        <w:gridCol w:w="1165"/>
        <w:gridCol w:w="1148"/>
        <w:gridCol w:w="1656"/>
      </w:tblGrid>
      <w:tr w:rsidR="00162E69" w:rsidRPr="005C7D76" w14:paraId="7E2015BE" w14:textId="77777777" w:rsidTr="005C7D76">
        <w:trPr>
          <w:trHeight w:val="270"/>
          <w:jc w:val="center"/>
        </w:trPr>
        <w:tc>
          <w:tcPr>
            <w:tcW w:w="7655" w:type="dxa"/>
            <w:gridSpan w:val="4"/>
            <w:tcBorders>
              <w:top w:val="nil"/>
              <w:left w:val="nil"/>
              <w:right w:val="nil"/>
            </w:tcBorders>
            <w:shd w:val="clear" w:color="000000" w:fill="FFFFFF"/>
            <w:noWrap/>
            <w:vAlign w:val="bottom"/>
            <w:hideMark/>
          </w:tcPr>
          <w:p w14:paraId="360F258B" w14:textId="77777777" w:rsidR="00890868" w:rsidRPr="005C7D76" w:rsidRDefault="00890868">
            <w:pPr>
              <w:widowControl/>
              <w:suppressAutoHyphens w:val="0"/>
              <w:overflowPunct/>
              <w:autoSpaceDE/>
              <w:autoSpaceDN/>
              <w:spacing w:line="240" w:lineRule="auto"/>
              <w:jc w:val="right"/>
              <w:textAlignment w:val="auto"/>
              <w:rPr>
                <w:i/>
                <w:iCs/>
                <w:sz w:val="20"/>
              </w:rPr>
            </w:pPr>
            <w:r w:rsidRPr="005C7D76">
              <w:rPr>
                <w:i/>
                <w:iCs/>
                <w:sz w:val="20"/>
              </w:rPr>
              <w:t>(importi in migliaia di euro)</w:t>
            </w:r>
          </w:p>
        </w:tc>
      </w:tr>
      <w:tr w:rsidR="00162E69" w:rsidRPr="005C7D76" w14:paraId="2E075A64" w14:textId="77777777" w:rsidTr="005C7D76">
        <w:trPr>
          <w:trHeight w:val="481"/>
          <w:jc w:val="center"/>
        </w:trPr>
        <w:tc>
          <w:tcPr>
            <w:tcW w:w="3686" w:type="dxa"/>
            <w:shd w:val="clear" w:color="auto" w:fill="D0CECE" w:themeFill="background2" w:themeFillShade="E6"/>
            <w:vAlign w:val="bottom"/>
            <w:hideMark/>
          </w:tcPr>
          <w:p w14:paraId="2FEF0878" w14:textId="77777777" w:rsidR="00890868" w:rsidRPr="005C7D76" w:rsidRDefault="00162E69" w:rsidP="00162E69">
            <w:pPr>
              <w:jc w:val="left"/>
              <w:rPr>
                <w:b/>
                <w:bCs/>
                <w:sz w:val="20"/>
              </w:rPr>
            </w:pPr>
            <w:r w:rsidRPr="005C7D76">
              <w:rPr>
                <w:b/>
                <w:bCs/>
                <w:sz w:val="20"/>
              </w:rPr>
              <w:t>Descrizione</w:t>
            </w:r>
          </w:p>
        </w:tc>
        <w:tc>
          <w:tcPr>
            <w:tcW w:w="1165" w:type="dxa"/>
            <w:shd w:val="clear" w:color="auto" w:fill="D0CECE" w:themeFill="background2" w:themeFillShade="E6"/>
            <w:vAlign w:val="bottom"/>
            <w:hideMark/>
          </w:tcPr>
          <w:p w14:paraId="0024B38C" w14:textId="77777777" w:rsidR="00890868" w:rsidRPr="005C7D76" w:rsidRDefault="00162E69" w:rsidP="00162E69">
            <w:pPr>
              <w:jc w:val="left"/>
              <w:rPr>
                <w:b/>
                <w:bCs/>
                <w:sz w:val="20"/>
              </w:rPr>
            </w:pPr>
            <w:r w:rsidRPr="005C7D76">
              <w:rPr>
                <w:b/>
                <w:bCs/>
                <w:sz w:val="20"/>
              </w:rPr>
              <w:t xml:space="preserve">        </w:t>
            </w:r>
            <w:r w:rsidR="003045FE" w:rsidRPr="005C7D76">
              <w:rPr>
                <w:b/>
                <w:bCs/>
                <w:sz w:val="20"/>
              </w:rPr>
              <w:t>2021</w:t>
            </w:r>
          </w:p>
        </w:tc>
        <w:tc>
          <w:tcPr>
            <w:tcW w:w="1148" w:type="dxa"/>
            <w:shd w:val="clear" w:color="auto" w:fill="D0CECE" w:themeFill="background2" w:themeFillShade="E6"/>
            <w:vAlign w:val="bottom"/>
            <w:hideMark/>
          </w:tcPr>
          <w:p w14:paraId="1B08AE12" w14:textId="77777777" w:rsidR="00890868" w:rsidRPr="005C7D76" w:rsidRDefault="00890868" w:rsidP="00162E69">
            <w:pPr>
              <w:jc w:val="left"/>
              <w:rPr>
                <w:b/>
                <w:bCs/>
                <w:sz w:val="20"/>
              </w:rPr>
            </w:pPr>
            <w:r w:rsidRPr="005C7D76">
              <w:rPr>
                <w:b/>
                <w:bCs/>
                <w:sz w:val="20"/>
              </w:rPr>
              <w:t xml:space="preserve">        </w:t>
            </w:r>
            <w:r w:rsidR="003045FE" w:rsidRPr="005C7D76">
              <w:rPr>
                <w:b/>
                <w:bCs/>
                <w:sz w:val="20"/>
              </w:rPr>
              <w:t>2020</w:t>
            </w:r>
          </w:p>
        </w:tc>
        <w:tc>
          <w:tcPr>
            <w:tcW w:w="1656" w:type="dxa"/>
            <w:shd w:val="clear" w:color="auto" w:fill="D0CECE" w:themeFill="background2" w:themeFillShade="E6"/>
            <w:vAlign w:val="bottom"/>
            <w:hideMark/>
          </w:tcPr>
          <w:p w14:paraId="370AA276" w14:textId="77777777" w:rsidR="00890868" w:rsidRPr="005C7D76" w:rsidRDefault="00890868" w:rsidP="005C7D76">
            <w:pPr>
              <w:jc w:val="left"/>
              <w:rPr>
                <w:b/>
                <w:bCs/>
                <w:sz w:val="20"/>
              </w:rPr>
            </w:pPr>
            <w:r w:rsidRPr="005C7D76">
              <w:rPr>
                <w:b/>
                <w:bCs/>
                <w:sz w:val="20"/>
              </w:rPr>
              <w:t>variazioni</w:t>
            </w:r>
          </w:p>
        </w:tc>
      </w:tr>
      <w:tr w:rsidR="00162E69" w:rsidRPr="005C7D76" w14:paraId="6AEB13BC" w14:textId="77777777" w:rsidTr="005C7D76">
        <w:trPr>
          <w:trHeight w:val="270"/>
          <w:jc w:val="center"/>
        </w:trPr>
        <w:tc>
          <w:tcPr>
            <w:tcW w:w="3686" w:type="dxa"/>
            <w:shd w:val="clear" w:color="000000" w:fill="FFFFFF"/>
            <w:vAlign w:val="bottom"/>
            <w:hideMark/>
          </w:tcPr>
          <w:p w14:paraId="6B2379C7" w14:textId="77777777" w:rsidR="00CD63F7" w:rsidRPr="005C7D76" w:rsidRDefault="00CD63F7" w:rsidP="00CD63F7">
            <w:pPr>
              <w:jc w:val="left"/>
              <w:rPr>
                <w:sz w:val="20"/>
              </w:rPr>
            </w:pPr>
            <w:r w:rsidRPr="005C7D76">
              <w:rPr>
                <w:sz w:val="20"/>
              </w:rPr>
              <w:t>Valore della produzione</w:t>
            </w:r>
          </w:p>
        </w:tc>
        <w:tc>
          <w:tcPr>
            <w:tcW w:w="1165" w:type="dxa"/>
            <w:shd w:val="clear" w:color="000000" w:fill="FFFFFF"/>
            <w:vAlign w:val="bottom"/>
          </w:tcPr>
          <w:p w14:paraId="4B03C420" w14:textId="77777777" w:rsidR="00CD63F7" w:rsidRPr="005C7D76" w:rsidRDefault="003045FE" w:rsidP="00CD63F7">
            <w:pPr>
              <w:jc w:val="right"/>
              <w:rPr>
                <w:sz w:val="20"/>
              </w:rPr>
            </w:pPr>
            <w:r w:rsidRPr="005C7D76">
              <w:rPr>
                <w:sz w:val="20"/>
              </w:rPr>
              <w:t>37.218</w:t>
            </w:r>
          </w:p>
        </w:tc>
        <w:tc>
          <w:tcPr>
            <w:tcW w:w="1148" w:type="dxa"/>
            <w:shd w:val="clear" w:color="000000" w:fill="FFFFFF"/>
            <w:vAlign w:val="bottom"/>
            <w:hideMark/>
          </w:tcPr>
          <w:p w14:paraId="6A87CAC7" w14:textId="77777777" w:rsidR="00CD63F7" w:rsidRPr="005C7D76" w:rsidRDefault="003045FE" w:rsidP="00CD63F7">
            <w:pPr>
              <w:jc w:val="right"/>
              <w:rPr>
                <w:sz w:val="20"/>
              </w:rPr>
            </w:pPr>
            <w:r w:rsidRPr="005C7D76">
              <w:rPr>
                <w:sz w:val="20"/>
              </w:rPr>
              <w:t>38.826</w:t>
            </w:r>
          </w:p>
        </w:tc>
        <w:tc>
          <w:tcPr>
            <w:tcW w:w="1656" w:type="dxa"/>
            <w:shd w:val="clear" w:color="000000" w:fill="FFFFFF"/>
            <w:vAlign w:val="bottom"/>
          </w:tcPr>
          <w:p w14:paraId="767B153F" w14:textId="77777777" w:rsidR="00CD63F7" w:rsidRPr="005C7D76" w:rsidRDefault="002C4E1C" w:rsidP="00CD63F7">
            <w:pPr>
              <w:jc w:val="right"/>
              <w:rPr>
                <w:sz w:val="20"/>
              </w:rPr>
            </w:pPr>
            <w:r w:rsidRPr="005C7D76">
              <w:rPr>
                <w:sz w:val="20"/>
              </w:rPr>
              <w:t>(</w:t>
            </w:r>
            <w:r w:rsidR="003045FE" w:rsidRPr="005C7D76">
              <w:rPr>
                <w:sz w:val="20"/>
              </w:rPr>
              <w:t>1.608</w:t>
            </w:r>
            <w:r w:rsidRPr="005C7D76">
              <w:rPr>
                <w:sz w:val="20"/>
              </w:rPr>
              <w:t>)</w:t>
            </w:r>
          </w:p>
        </w:tc>
      </w:tr>
      <w:tr w:rsidR="00162E69" w:rsidRPr="005C7D76" w14:paraId="5F9D7FCF" w14:textId="77777777" w:rsidTr="005C7D76">
        <w:trPr>
          <w:trHeight w:val="270"/>
          <w:jc w:val="center"/>
        </w:trPr>
        <w:tc>
          <w:tcPr>
            <w:tcW w:w="3686" w:type="dxa"/>
            <w:shd w:val="clear" w:color="000000" w:fill="FFFFFF"/>
            <w:vAlign w:val="bottom"/>
            <w:hideMark/>
          </w:tcPr>
          <w:p w14:paraId="57610B42" w14:textId="77777777" w:rsidR="00CD63F7" w:rsidRPr="005C7D76" w:rsidRDefault="00CD63F7" w:rsidP="00CD63F7">
            <w:pPr>
              <w:jc w:val="left"/>
              <w:rPr>
                <w:sz w:val="20"/>
              </w:rPr>
            </w:pPr>
            <w:r w:rsidRPr="005C7D76">
              <w:rPr>
                <w:sz w:val="20"/>
              </w:rPr>
              <w:t>Reddito operativo</w:t>
            </w:r>
          </w:p>
        </w:tc>
        <w:tc>
          <w:tcPr>
            <w:tcW w:w="1165" w:type="dxa"/>
            <w:shd w:val="clear" w:color="000000" w:fill="FFFFFF"/>
            <w:vAlign w:val="bottom"/>
          </w:tcPr>
          <w:p w14:paraId="40F9B579" w14:textId="77777777" w:rsidR="00CD63F7" w:rsidRPr="005C7D76" w:rsidRDefault="003045FE" w:rsidP="00CD63F7">
            <w:pPr>
              <w:jc w:val="right"/>
              <w:rPr>
                <w:sz w:val="20"/>
              </w:rPr>
            </w:pPr>
            <w:r w:rsidRPr="005C7D76">
              <w:rPr>
                <w:sz w:val="20"/>
              </w:rPr>
              <w:t>2.628</w:t>
            </w:r>
          </w:p>
        </w:tc>
        <w:tc>
          <w:tcPr>
            <w:tcW w:w="1148" w:type="dxa"/>
            <w:shd w:val="clear" w:color="000000" w:fill="FFFFFF"/>
            <w:vAlign w:val="bottom"/>
            <w:hideMark/>
          </w:tcPr>
          <w:p w14:paraId="46B3BC45" w14:textId="77777777" w:rsidR="00CD63F7" w:rsidRPr="005C7D76" w:rsidRDefault="00CD63F7" w:rsidP="00CD63F7">
            <w:pPr>
              <w:jc w:val="right"/>
              <w:rPr>
                <w:sz w:val="20"/>
              </w:rPr>
            </w:pPr>
            <w:r w:rsidRPr="005C7D76">
              <w:rPr>
                <w:sz w:val="20"/>
              </w:rPr>
              <w:t>3.</w:t>
            </w:r>
            <w:r w:rsidR="003045FE" w:rsidRPr="005C7D76">
              <w:rPr>
                <w:sz w:val="20"/>
              </w:rPr>
              <w:t>222</w:t>
            </w:r>
          </w:p>
        </w:tc>
        <w:tc>
          <w:tcPr>
            <w:tcW w:w="1656" w:type="dxa"/>
            <w:shd w:val="clear" w:color="000000" w:fill="FFFFFF"/>
            <w:vAlign w:val="bottom"/>
          </w:tcPr>
          <w:p w14:paraId="784A90AF" w14:textId="77777777" w:rsidR="00CD63F7" w:rsidRPr="005C7D76" w:rsidRDefault="002C4E1C" w:rsidP="00CD63F7">
            <w:pPr>
              <w:jc w:val="right"/>
              <w:rPr>
                <w:sz w:val="20"/>
              </w:rPr>
            </w:pPr>
            <w:r w:rsidRPr="005C7D76">
              <w:rPr>
                <w:sz w:val="20"/>
              </w:rPr>
              <w:t>(</w:t>
            </w:r>
            <w:r w:rsidR="003045FE" w:rsidRPr="005C7D76">
              <w:rPr>
                <w:sz w:val="20"/>
              </w:rPr>
              <w:t>594</w:t>
            </w:r>
            <w:r w:rsidRPr="005C7D76">
              <w:rPr>
                <w:sz w:val="20"/>
              </w:rPr>
              <w:t>)</w:t>
            </w:r>
          </w:p>
        </w:tc>
      </w:tr>
      <w:tr w:rsidR="00162E69" w:rsidRPr="005C7D76" w14:paraId="2FC5926B" w14:textId="77777777" w:rsidTr="005C7D76">
        <w:trPr>
          <w:trHeight w:val="270"/>
          <w:jc w:val="center"/>
        </w:trPr>
        <w:tc>
          <w:tcPr>
            <w:tcW w:w="3686" w:type="dxa"/>
            <w:shd w:val="clear" w:color="000000" w:fill="FFFFFF"/>
            <w:vAlign w:val="bottom"/>
            <w:hideMark/>
          </w:tcPr>
          <w:p w14:paraId="383D1A51" w14:textId="77777777" w:rsidR="00CD63F7" w:rsidRPr="005C7D76" w:rsidRDefault="00CD63F7" w:rsidP="00CD63F7">
            <w:pPr>
              <w:jc w:val="left"/>
              <w:rPr>
                <w:sz w:val="20"/>
              </w:rPr>
            </w:pPr>
            <w:r w:rsidRPr="005C7D76">
              <w:rPr>
                <w:sz w:val="20"/>
              </w:rPr>
              <w:t>Risultato prima delle imposte</w:t>
            </w:r>
          </w:p>
        </w:tc>
        <w:tc>
          <w:tcPr>
            <w:tcW w:w="1165" w:type="dxa"/>
            <w:shd w:val="clear" w:color="000000" w:fill="FFFFFF"/>
            <w:vAlign w:val="bottom"/>
          </w:tcPr>
          <w:p w14:paraId="1B276168" w14:textId="77777777" w:rsidR="00CD63F7" w:rsidRPr="005C7D76" w:rsidRDefault="003045FE" w:rsidP="00CD63F7">
            <w:pPr>
              <w:jc w:val="right"/>
              <w:rPr>
                <w:sz w:val="20"/>
              </w:rPr>
            </w:pPr>
            <w:r w:rsidRPr="005C7D76">
              <w:rPr>
                <w:sz w:val="20"/>
              </w:rPr>
              <w:t>2.578</w:t>
            </w:r>
          </w:p>
        </w:tc>
        <w:tc>
          <w:tcPr>
            <w:tcW w:w="1148" w:type="dxa"/>
            <w:shd w:val="clear" w:color="000000" w:fill="FFFFFF"/>
            <w:vAlign w:val="bottom"/>
            <w:hideMark/>
          </w:tcPr>
          <w:p w14:paraId="50D08D4D" w14:textId="77777777" w:rsidR="00CD63F7" w:rsidRPr="005C7D76" w:rsidRDefault="003045FE" w:rsidP="00CD63F7">
            <w:pPr>
              <w:jc w:val="right"/>
              <w:rPr>
                <w:sz w:val="20"/>
              </w:rPr>
            </w:pPr>
            <w:r w:rsidRPr="005C7D76">
              <w:rPr>
                <w:sz w:val="20"/>
              </w:rPr>
              <w:t>3.072</w:t>
            </w:r>
          </w:p>
        </w:tc>
        <w:tc>
          <w:tcPr>
            <w:tcW w:w="1656" w:type="dxa"/>
            <w:shd w:val="clear" w:color="000000" w:fill="FFFFFF"/>
            <w:vAlign w:val="bottom"/>
          </w:tcPr>
          <w:p w14:paraId="6BC9977D" w14:textId="77777777" w:rsidR="00CD63F7" w:rsidRPr="005C7D76" w:rsidRDefault="003045FE" w:rsidP="00CD63F7">
            <w:pPr>
              <w:jc w:val="right"/>
              <w:rPr>
                <w:sz w:val="20"/>
              </w:rPr>
            </w:pPr>
            <w:r w:rsidRPr="005C7D76">
              <w:rPr>
                <w:sz w:val="20"/>
              </w:rPr>
              <w:t>(494)</w:t>
            </w:r>
          </w:p>
        </w:tc>
      </w:tr>
      <w:tr w:rsidR="00162E69" w:rsidRPr="005C7D76" w14:paraId="1DDBE4F7" w14:textId="77777777" w:rsidTr="005C7D76">
        <w:trPr>
          <w:trHeight w:val="270"/>
          <w:jc w:val="center"/>
        </w:trPr>
        <w:tc>
          <w:tcPr>
            <w:tcW w:w="3686" w:type="dxa"/>
            <w:shd w:val="clear" w:color="000000" w:fill="FFFFFF"/>
            <w:vAlign w:val="bottom"/>
            <w:hideMark/>
          </w:tcPr>
          <w:p w14:paraId="498EDE06" w14:textId="77777777" w:rsidR="00CD63F7" w:rsidRPr="005C7D76" w:rsidRDefault="00CD63F7" w:rsidP="00CD63F7">
            <w:pPr>
              <w:jc w:val="left"/>
              <w:rPr>
                <w:sz w:val="20"/>
              </w:rPr>
            </w:pPr>
            <w:r w:rsidRPr="005C7D76">
              <w:rPr>
                <w:sz w:val="20"/>
              </w:rPr>
              <w:t>Utile netto</w:t>
            </w:r>
          </w:p>
        </w:tc>
        <w:tc>
          <w:tcPr>
            <w:tcW w:w="1165" w:type="dxa"/>
            <w:shd w:val="clear" w:color="000000" w:fill="FFFFFF"/>
            <w:vAlign w:val="bottom"/>
          </w:tcPr>
          <w:p w14:paraId="08E86D24" w14:textId="77777777" w:rsidR="00CD63F7" w:rsidRPr="005C7D76" w:rsidRDefault="003045FE" w:rsidP="00CD63F7">
            <w:pPr>
              <w:jc w:val="right"/>
              <w:rPr>
                <w:sz w:val="20"/>
              </w:rPr>
            </w:pPr>
            <w:r w:rsidRPr="005C7D76">
              <w:rPr>
                <w:sz w:val="20"/>
              </w:rPr>
              <w:t>1.914</w:t>
            </w:r>
          </w:p>
        </w:tc>
        <w:tc>
          <w:tcPr>
            <w:tcW w:w="1148" w:type="dxa"/>
            <w:shd w:val="clear" w:color="000000" w:fill="FFFFFF"/>
            <w:vAlign w:val="bottom"/>
            <w:hideMark/>
          </w:tcPr>
          <w:p w14:paraId="57AFB333" w14:textId="77777777" w:rsidR="00CD63F7" w:rsidRPr="005C7D76" w:rsidRDefault="003045FE" w:rsidP="00CD63F7">
            <w:pPr>
              <w:jc w:val="right"/>
              <w:rPr>
                <w:sz w:val="20"/>
              </w:rPr>
            </w:pPr>
            <w:r w:rsidRPr="005C7D76">
              <w:rPr>
                <w:sz w:val="20"/>
              </w:rPr>
              <w:t>2.196</w:t>
            </w:r>
          </w:p>
        </w:tc>
        <w:tc>
          <w:tcPr>
            <w:tcW w:w="1656" w:type="dxa"/>
            <w:shd w:val="clear" w:color="000000" w:fill="FFFFFF"/>
            <w:vAlign w:val="bottom"/>
          </w:tcPr>
          <w:p w14:paraId="0A7AA36B" w14:textId="77777777" w:rsidR="00CD63F7" w:rsidRPr="005C7D76" w:rsidRDefault="003045FE" w:rsidP="00CD63F7">
            <w:pPr>
              <w:jc w:val="right"/>
              <w:rPr>
                <w:sz w:val="20"/>
              </w:rPr>
            </w:pPr>
            <w:r w:rsidRPr="005C7D76">
              <w:rPr>
                <w:sz w:val="20"/>
              </w:rPr>
              <w:t>(282)</w:t>
            </w:r>
          </w:p>
        </w:tc>
      </w:tr>
    </w:tbl>
    <w:p w14:paraId="17EB87D6" w14:textId="77777777" w:rsidR="007C6DD0" w:rsidRPr="00162E69" w:rsidRDefault="007C6DD0" w:rsidP="007C6DD0">
      <w:pPr>
        <w:ind w:left="65" w:firstLine="1"/>
        <w:jc w:val="center"/>
        <w:rPr>
          <w:szCs w:val="24"/>
        </w:rPr>
      </w:pPr>
    </w:p>
    <w:p w14:paraId="41C6E7BF" w14:textId="77777777" w:rsidR="002E643C" w:rsidRPr="00162E69" w:rsidRDefault="007A19A9" w:rsidP="004D17AE">
      <w:pPr>
        <w:spacing w:after="240"/>
        <w:rPr>
          <w:szCs w:val="24"/>
        </w:rPr>
      </w:pPr>
      <w:r w:rsidRPr="00162E69">
        <w:rPr>
          <w:szCs w:val="24"/>
        </w:rPr>
        <w:t xml:space="preserve">Si riportano, inoltre, i seguenti indicatori economici </w:t>
      </w:r>
      <w:r w:rsidR="00810497" w:rsidRPr="00162E69">
        <w:rPr>
          <w:szCs w:val="24"/>
        </w:rPr>
        <w:t xml:space="preserve">2021 </w:t>
      </w:r>
      <w:r w:rsidRPr="00162E69">
        <w:rPr>
          <w:szCs w:val="24"/>
        </w:rPr>
        <w:t xml:space="preserve">confrontati con quelli del </w:t>
      </w:r>
      <w:r w:rsidR="00810497" w:rsidRPr="00162E69">
        <w:rPr>
          <w:szCs w:val="24"/>
        </w:rPr>
        <w:t>2020</w:t>
      </w:r>
      <w:r w:rsidRPr="00162E69">
        <w:rPr>
          <w:szCs w:val="24"/>
        </w:rPr>
        <w:t>.</w:t>
      </w:r>
    </w:p>
    <w:tbl>
      <w:tblPr>
        <w:tblW w:w="7379" w:type="dxa"/>
        <w:jc w:val="center"/>
        <w:tblLayout w:type="fixed"/>
        <w:tblCellMar>
          <w:left w:w="10" w:type="dxa"/>
          <w:right w:w="10" w:type="dxa"/>
        </w:tblCellMar>
        <w:tblLook w:val="0000" w:firstRow="0" w:lastRow="0" w:firstColumn="0" w:lastColumn="0" w:noHBand="0" w:noVBand="0"/>
      </w:tblPr>
      <w:tblGrid>
        <w:gridCol w:w="4131"/>
        <w:gridCol w:w="1500"/>
        <w:gridCol w:w="1748"/>
      </w:tblGrid>
      <w:tr w:rsidR="005C7D76" w:rsidRPr="005C7D76" w14:paraId="55B2FE6E" w14:textId="77777777" w:rsidTr="004D17AE">
        <w:trPr>
          <w:trHeight w:val="511"/>
          <w:jc w:val="center"/>
        </w:trPr>
        <w:tc>
          <w:tcPr>
            <w:tcW w:w="4131" w:type="dxa"/>
            <w:tcBorders>
              <w:top w:val="single" w:sz="8" w:space="0" w:color="000000"/>
              <w:left w:val="single" w:sz="8" w:space="0" w:color="000000"/>
              <w:bottom w:val="single" w:sz="8" w:space="0" w:color="000000"/>
            </w:tcBorders>
            <w:shd w:val="clear" w:color="auto" w:fill="D0CECE" w:themeFill="background2" w:themeFillShade="E6"/>
            <w:noWrap/>
            <w:tcMar>
              <w:top w:w="0" w:type="dxa"/>
              <w:left w:w="70" w:type="dxa"/>
              <w:bottom w:w="0" w:type="dxa"/>
              <w:right w:w="70" w:type="dxa"/>
            </w:tcMar>
            <w:vAlign w:val="center"/>
          </w:tcPr>
          <w:p w14:paraId="06B55D69" w14:textId="77777777" w:rsidR="005C7D76" w:rsidRPr="005C7D76" w:rsidRDefault="005C7D76" w:rsidP="004D17AE">
            <w:pPr>
              <w:shd w:val="clear" w:color="auto" w:fill="D0CECE" w:themeFill="background2" w:themeFillShade="E6"/>
              <w:overflowPunct/>
              <w:autoSpaceDE/>
              <w:spacing w:line="240" w:lineRule="auto"/>
              <w:jc w:val="left"/>
              <w:textAlignment w:val="auto"/>
              <w:rPr>
                <w:b/>
                <w:bCs/>
                <w:sz w:val="20"/>
              </w:rPr>
            </w:pPr>
            <w:r w:rsidRPr="005C7D76">
              <w:rPr>
                <w:b/>
                <w:bCs/>
                <w:sz w:val="20"/>
              </w:rPr>
              <w:t>Indicatori</w:t>
            </w:r>
          </w:p>
        </w:tc>
        <w:tc>
          <w:tcPr>
            <w:tcW w:w="1500" w:type="dxa"/>
            <w:tcBorders>
              <w:top w:val="single" w:sz="8" w:space="0" w:color="000000"/>
              <w:left w:val="single" w:sz="8" w:space="0" w:color="000000"/>
              <w:bottom w:val="single" w:sz="8" w:space="0" w:color="000000"/>
            </w:tcBorders>
            <w:shd w:val="clear" w:color="auto" w:fill="D0CECE" w:themeFill="background2" w:themeFillShade="E6"/>
            <w:noWrap/>
            <w:tcMar>
              <w:top w:w="0" w:type="dxa"/>
              <w:left w:w="70" w:type="dxa"/>
              <w:bottom w:w="0" w:type="dxa"/>
              <w:right w:w="70" w:type="dxa"/>
            </w:tcMar>
            <w:vAlign w:val="center"/>
          </w:tcPr>
          <w:p w14:paraId="76CD4282" w14:textId="77777777" w:rsidR="005C7D76" w:rsidRPr="005C7D76" w:rsidRDefault="005C7D76" w:rsidP="004D17AE">
            <w:pPr>
              <w:shd w:val="clear" w:color="auto" w:fill="D0CECE" w:themeFill="background2" w:themeFillShade="E6"/>
              <w:overflowPunct/>
              <w:autoSpaceDE/>
              <w:spacing w:line="240" w:lineRule="auto"/>
              <w:jc w:val="center"/>
              <w:textAlignment w:val="auto"/>
              <w:rPr>
                <w:b/>
                <w:bCs/>
                <w:sz w:val="20"/>
              </w:rPr>
            </w:pPr>
            <w:r w:rsidRPr="005C7D76">
              <w:rPr>
                <w:b/>
                <w:bCs/>
                <w:sz w:val="20"/>
              </w:rPr>
              <w:t>31/12/2021</w:t>
            </w:r>
          </w:p>
        </w:tc>
        <w:tc>
          <w:tcPr>
            <w:tcW w:w="1748" w:type="dxa"/>
            <w:tcBorders>
              <w:top w:val="single" w:sz="8" w:space="0" w:color="000000"/>
              <w:left w:val="single" w:sz="8" w:space="0" w:color="000000"/>
              <w:bottom w:val="single" w:sz="8" w:space="0" w:color="000000"/>
              <w:right w:val="single" w:sz="8" w:space="0" w:color="000000"/>
            </w:tcBorders>
            <w:shd w:val="clear" w:color="auto" w:fill="D0CECE" w:themeFill="background2" w:themeFillShade="E6"/>
            <w:noWrap/>
            <w:tcMar>
              <w:top w:w="0" w:type="dxa"/>
              <w:left w:w="70" w:type="dxa"/>
              <w:bottom w:w="0" w:type="dxa"/>
              <w:right w:w="70" w:type="dxa"/>
            </w:tcMar>
            <w:vAlign w:val="center"/>
          </w:tcPr>
          <w:p w14:paraId="3B7D6C5D" w14:textId="77777777" w:rsidR="005C7D76" w:rsidRPr="005C7D76" w:rsidRDefault="005C7D76" w:rsidP="004D17AE">
            <w:pPr>
              <w:shd w:val="clear" w:color="auto" w:fill="D0CECE" w:themeFill="background2" w:themeFillShade="E6"/>
              <w:overflowPunct/>
              <w:autoSpaceDE/>
              <w:spacing w:line="240" w:lineRule="auto"/>
              <w:jc w:val="center"/>
              <w:textAlignment w:val="auto"/>
              <w:rPr>
                <w:b/>
                <w:bCs/>
                <w:sz w:val="20"/>
              </w:rPr>
            </w:pPr>
            <w:r w:rsidRPr="005C7D76">
              <w:rPr>
                <w:b/>
                <w:bCs/>
                <w:sz w:val="20"/>
              </w:rPr>
              <w:t>31/12/2020</w:t>
            </w:r>
          </w:p>
        </w:tc>
      </w:tr>
      <w:tr w:rsidR="005C7D76" w:rsidRPr="005C7D76" w14:paraId="266E82E7" w14:textId="77777777" w:rsidTr="004D17AE">
        <w:trPr>
          <w:trHeight w:val="255"/>
          <w:jc w:val="center"/>
        </w:trPr>
        <w:tc>
          <w:tcPr>
            <w:tcW w:w="4131" w:type="dxa"/>
            <w:tcBorders>
              <w:left w:val="single" w:sz="8" w:space="0" w:color="000000"/>
            </w:tcBorders>
            <w:shd w:val="clear" w:color="auto" w:fill="auto"/>
            <w:noWrap/>
            <w:tcMar>
              <w:top w:w="0" w:type="dxa"/>
              <w:left w:w="70" w:type="dxa"/>
              <w:bottom w:w="0" w:type="dxa"/>
              <w:right w:w="70" w:type="dxa"/>
            </w:tcMar>
            <w:vAlign w:val="bottom"/>
          </w:tcPr>
          <w:p w14:paraId="4ED7A936" w14:textId="77777777" w:rsidR="005C7D76" w:rsidRPr="005C7D76" w:rsidRDefault="005C7D76" w:rsidP="00CD63F7">
            <w:pPr>
              <w:overflowPunct/>
              <w:autoSpaceDE/>
              <w:spacing w:line="240" w:lineRule="auto"/>
              <w:jc w:val="left"/>
              <w:textAlignment w:val="auto"/>
              <w:rPr>
                <w:sz w:val="20"/>
              </w:rPr>
            </w:pPr>
            <w:r w:rsidRPr="005C7D76">
              <w:rPr>
                <w:sz w:val="20"/>
              </w:rPr>
              <w:t>ROE (Rn/N)</w:t>
            </w:r>
          </w:p>
        </w:tc>
        <w:tc>
          <w:tcPr>
            <w:tcW w:w="1500" w:type="dxa"/>
            <w:shd w:val="clear" w:color="auto" w:fill="auto"/>
            <w:noWrap/>
            <w:tcMar>
              <w:top w:w="0" w:type="dxa"/>
              <w:left w:w="70" w:type="dxa"/>
              <w:bottom w:w="0" w:type="dxa"/>
              <w:right w:w="70" w:type="dxa"/>
            </w:tcMar>
            <w:vAlign w:val="bottom"/>
          </w:tcPr>
          <w:p w14:paraId="428361FF" w14:textId="77777777" w:rsidR="005C7D76" w:rsidRPr="005C7D76" w:rsidRDefault="005C7D76" w:rsidP="00CD63F7">
            <w:pPr>
              <w:overflowPunct/>
              <w:autoSpaceDE/>
              <w:spacing w:line="240" w:lineRule="auto"/>
              <w:jc w:val="center"/>
              <w:textAlignment w:val="auto"/>
              <w:rPr>
                <w:sz w:val="20"/>
              </w:rPr>
            </w:pPr>
            <w:r w:rsidRPr="005C7D76">
              <w:rPr>
                <w:sz w:val="20"/>
              </w:rPr>
              <w:t>8,07%</w:t>
            </w:r>
          </w:p>
        </w:tc>
        <w:tc>
          <w:tcPr>
            <w:tcW w:w="1748" w:type="dxa"/>
            <w:tcBorders>
              <w:right w:val="single" w:sz="8" w:space="0" w:color="000000"/>
            </w:tcBorders>
            <w:shd w:val="clear" w:color="auto" w:fill="auto"/>
            <w:noWrap/>
            <w:tcMar>
              <w:top w:w="0" w:type="dxa"/>
              <w:left w:w="70" w:type="dxa"/>
              <w:bottom w:w="0" w:type="dxa"/>
              <w:right w:w="70" w:type="dxa"/>
            </w:tcMar>
            <w:vAlign w:val="bottom"/>
          </w:tcPr>
          <w:p w14:paraId="45534442" w14:textId="77777777" w:rsidR="005C7D76" w:rsidRPr="005C7D76" w:rsidRDefault="005C7D76" w:rsidP="00CD63F7">
            <w:pPr>
              <w:overflowPunct/>
              <w:autoSpaceDE/>
              <w:spacing w:line="240" w:lineRule="auto"/>
              <w:jc w:val="center"/>
              <w:textAlignment w:val="auto"/>
              <w:rPr>
                <w:sz w:val="20"/>
              </w:rPr>
            </w:pPr>
            <w:r w:rsidRPr="005C7D76">
              <w:rPr>
                <w:sz w:val="20"/>
              </w:rPr>
              <w:t>10,08%</w:t>
            </w:r>
          </w:p>
        </w:tc>
      </w:tr>
      <w:tr w:rsidR="005C7D76" w:rsidRPr="005C7D76" w14:paraId="122D0155" w14:textId="77777777" w:rsidTr="004D17AE">
        <w:trPr>
          <w:trHeight w:val="255"/>
          <w:jc w:val="center"/>
        </w:trPr>
        <w:tc>
          <w:tcPr>
            <w:tcW w:w="4131" w:type="dxa"/>
            <w:tcBorders>
              <w:left w:val="single" w:sz="8" w:space="0" w:color="000000"/>
            </w:tcBorders>
            <w:shd w:val="clear" w:color="auto" w:fill="auto"/>
            <w:noWrap/>
            <w:tcMar>
              <w:top w:w="0" w:type="dxa"/>
              <w:left w:w="70" w:type="dxa"/>
              <w:bottom w:w="0" w:type="dxa"/>
              <w:right w:w="70" w:type="dxa"/>
            </w:tcMar>
            <w:vAlign w:val="bottom"/>
          </w:tcPr>
          <w:p w14:paraId="78A0931C" w14:textId="77777777" w:rsidR="005C7D76" w:rsidRPr="005C7D76" w:rsidRDefault="005C7D76" w:rsidP="00CD63F7">
            <w:pPr>
              <w:overflowPunct/>
              <w:autoSpaceDE/>
              <w:spacing w:line="240" w:lineRule="auto"/>
              <w:jc w:val="left"/>
              <w:textAlignment w:val="auto"/>
              <w:rPr>
                <w:sz w:val="20"/>
              </w:rPr>
            </w:pPr>
            <w:r w:rsidRPr="005C7D76">
              <w:rPr>
                <w:sz w:val="20"/>
              </w:rPr>
              <w:t>ROI ((EBIT/Ko)</w:t>
            </w:r>
          </w:p>
        </w:tc>
        <w:tc>
          <w:tcPr>
            <w:tcW w:w="1500" w:type="dxa"/>
            <w:shd w:val="clear" w:color="auto" w:fill="auto"/>
            <w:noWrap/>
            <w:tcMar>
              <w:top w:w="0" w:type="dxa"/>
              <w:left w:w="70" w:type="dxa"/>
              <w:bottom w:w="0" w:type="dxa"/>
              <w:right w:w="70" w:type="dxa"/>
            </w:tcMar>
            <w:vAlign w:val="bottom"/>
          </w:tcPr>
          <w:p w14:paraId="4338860B" w14:textId="77777777" w:rsidR="005C7D76" w:rsidRPr="005C7D76" w:rsidRDefault="005C7D76" w:rsidP="00CD63F7">
            <w:pPr>
              <w:overflowPunct/>
              <w:autoSpaceDE/>
              <w:spacing w:line="240" w:lineRule="auto"/>
              <w:jc w:val="center"/>
              <w:textAlignment w:val="auto"/>
              <w:rPr>
                <w:sz w:val="20"/>
              </w:rPr>
            </w:pPr>
            <w:r w:rsidRPr="005C7D76">
              <w:rPr>
                <w:sz w:val="20"/>
              </w:rPr>
              <w:t>1,29%</w:t>
            </w:r>
          </w:p>
        </w:tc>
        <w:tc>
          <w:tcPr>
            <w:tcW w:w="1748" w:type="dxa"/>
            <w:tcBorders>
              <w:right w:val="single" w:sz="8" w:space="0" w:color="000000"/>
            </w:tcBorders>
            <w:shd w:val="clear" w:color="auto" w:fill="auto"/>
            <w:noWrap/>
            <w:tcMar>
              <w:top w:w="0" w:type="dxa"/>
              <w:left w:w="70" w:type="dxa"/>
              <w:bottom w:w="0" w:type="dxa"/>
              <w:right w:w="70" w:type="dxa"/>
            </w:tcMar>
            <w:vAlign w:val="bottom"/>
          </w:tcPr>
          <w:p w14:paraId="6A7B2AFC" w14:textId="77777777" w:rsidR="005C7D76" w:rsidRPr="005C7D76" w:rsidRDefault="005C7D76" w:rsidP="00CD63F7">
            <w:pPr>
              <w:overflowPunct/>
              <w:autoSpaceDE/>
              <w:spacing w:line="240" w:lineRule="auto"/>
              <w:jc w:val="center"/>
              <w:textAlignment w:val="auto"/>
              <w:rPr>
                <w:sz w:val="20"/>
              </w:rPr>
            </w:pPr>
            <w:r w:rsidRPr="005C7D76">
              <w:rPr>
                <w:sz w:val="20"/>
              </w:rPr>
              <w:t>1,62%</w:t>
            </w:r>
          </w:p>
        </w:tc>
      </w:tr>
      <w:tr w:rsidR="005C7D76" w:rsidRPr="005C7D76" w14:paraId="25549DC1" w14:textId="77777777" w:rsidTr="004D17AE">
        <w:trPr>
          <w:trHeight w:val="255"/>
          <w:jc w:val="center"/>
        </w:trPr>
        <w:tc>
          <w:tcPr>
            <w:tcW w:w="4131" w:type="dxa"/>
            <w:tcBorders>
              <w:left w:val="single" w:sz="8" w:space="0" w:color="000000"/>
            </w:tcBorders>
            <w:shd w:val="clear" w:color="auto" w:fill="auto"/>
            <w:noWrap/>
            <w:tcMar>
              <w:top w:w="0" w:type="dxa"/>
              <w:left w:w="70" w:type="dxa"/>
              <w:bottom w:w="0" w:type="dxa"/>
              <w:right w:w="70" w:type="dxa"/>
            </w:tcMar>
            <w:vAlign w:val="bottom"/>
          </w:tcPr>
          <w:p w14:paraId="6398D00D" w14:textId="77777777" w:rsidR="005C7D76" w:rsidRPr="005C7D76" w:rsidRDefault="005C7D76" w:rsidP="00CD63F7">
            <w:pPr>
              <w:overflowPunct/>
              <w:autoSpaceDE/>
              <w:spacing w:line="240" w:lineRule="auto"/>
              <w:jc w:val="left"/>
              <w:textAlignment w:val="auto"/>
              <w:rPr>
                <w:sz w:val="20"/>
              </w:rPr>
            </w:pPr>
            <w:r w:rsidRPr="005C7D76">
              <w:rPr>
                <w:sz w:val="20"/>
              </w:rPr>
              <w:t>MOL (EBITDA/V)</w:t>
            </w:r>
          </w:p>
        </w:tc>
        <w:tc>
          <w:tcPr>
            <w:tcW w:w="1500" w:type="dxa"/>
            <w:shd w:val="clear" w:color="auto" w:fill="auto"/>
            <w:noWrap/>
            <w:tcMar>
              <w:top w:w="0" w:type="dxa"/>
              <w:left w:w="70" w:type="dxa"/>
              <w:bottom w:w="0" w:type="dxa"/>
              <w:right w:w="70" w:type="dxa"/>
            </w:tcMar>
            <w:vAlign w:val="bottom"/>
          </w:tcPr>
          <w:p w14:paraId="78726912" w14:textId="77777777" w:rsidR="005C7D76" w:rsidRPr="005C7D76" w:rsidRDefault="005C7D76" w:rsidP="00CD63F7">
            <w:pPr>
              <w:overflowPunct/>
              <w:autoSpaceDE/>
              <w:spacing w:line="240" w:lineRule="auto"/>
              <w:jc w:val="center"/>
              <w:textAlignment w:val="auto"/>
              <w:rPr>
                <w:sz w:val="20"/>
              </w:rPr>
            </w:pPr>
            <w:r w:rsidRPr="005C7D76">
              <w:rPr>
                <w:sz w:val="20"/>
              </w:rPr>
              <w:t>9,29%</w:t>
            </w:r>
          </w:p>
        </w:tc>
        <w:tc>
          <w:tcPr>
            <w:tcW w:w="1748" w:type="dxa"/>
            <w:tcBorders>
              <w:right w:val="single" w:sz="8" w:space="0" w:color="000000"/>
            </w:tcBorders>
            <w:shd w:val="clear" w:color="auto" w:fill="auto"/>
            <w:noWrap/>
            <w:tcMar>
              <w:top w:w="0" w:type="dxa"/>
              <w:left w:w="70" w:type="dxa"/>
              <w:bottom w:w="0" w:type="dxa"/>
              <w:right w:w="70" w:type="dxa"/>
            </w:tcMar>
            <w:vAlign w:val="bottom"/>
          </w:tcPr>
          <w:p w14:paraId="5835DC63" w14:textId="77777777" w:rsidR="005C7D76" w:rsidRPr="005C7D76" w:rsidRDefault="005C7D76" w:rsidP="00CD63F7">
            <w:pPr>
              <w:overflowPunct/>
              <w:autoSpaceDE/>
              <w:spacing w:line="240" w:lineRule="auto"/>
              <w:jc w:val="center"/>
              <w:textAlignment w:val="auto"/>
              <w:rPr>
                <w:sz w:val="20"/>
              </w:rPr>
            </w:pPr>
            <w:r w:rsidRPr="005C7D76">
              <w:rPr>
                <w:sz w:val="20"/>
              </w:rPr>
              <w:t>10,62%</w:t>
            </w:r>
          </w:p>
        </w:tc>
      </w:tr>
      <w:tr w:rsidR="005C7D76" w:rsidRPr="005C7D76" w14:paraId="022D437A" w14:textId="77777777" w:rsidTr="004D17AE">
        <w:trPr>
          <w:trHeight w:val="270"/>
          <w:jc w:val="center"/>
        </w:trPr>
        <w:tc>
          <w:tcPr>
            <w:tcW w:w="4131" w:type="dxa"/>
            <w:tcBorders>
              <w:left w:val="single" w:sz="8" w:space="0" w:color="000000"/>
              <w:bottom w:val="single" w:sz="4" w:space="0" w:color="000000"/>
            </w:tcBorders>
            <w:shd w:val="clear" w:color="auto" w:fill="auto"/>
            <w:noWrap/>
            <w:tcMar>
              <w:top w:w="0" w:type="dxa"/>
              <w:left w:w="70" w:type="dxa"/>
              <w:bottom w:w="0" w:type="dxa"/>
              <w:right w:w="70" w:type="dxa"/>
            </w:tcMar>
            <w:vAlign w:val="bottom"/>
          </w:tcPr>
          <w:p w14:paraId="3A34BC25" w14:textId="77777777" w:rsidR="005C7D76" w:rsidRPr="005C7D76" w:rsidRDefault="005C7D76" w:rsidP="00CD63F7">
            <w:pPr>
              <w:overflowPunct/>
              <w:autoSpaceDE/>
              <w:spacing w:line="240" w:lineRule="auto"/>
              <w:jc w:val="left"/>
              <w:textAlignment w:val="auto"/>
              <w:rPr>
                <w:sz w:val="20"/>
              </w:rPr>
            </w:pPr>
            <w:r w:rsidRPr="005C7D76">
              <w:rPr>
                <w:sz w:val="20"/>
              </w:rPr>
              <w:t>ROS (EBIT/V)</w:t>
            </w:r>
          </w:p>
        </w:tc>
        <w:tc>
          <w:tcPr>
            <w:tcW w:w="1500" w:type="dxa"/>
            <w:tcBorders>
              <w:bottom w:val="single" w:sz="4" w:space="0" w:color="000000"/>
            </w:tcBorders>
            <w:shd w:val="clear" w:color="auto" w:fill="auto"/>
            <w:noWrap/>
            <w:tcMar>
              <w:top w:w="0" w:type="dxa"/>
              <w:left w:w="70" w:type="dxa"/>
              <w:bottom w:w="0" w:type="dxa"/>
              <w:right w:w="70" w:type="dxa"/>
            </w:tcMar>
            <w:vAlign w:val="bottom"/>
          </w:tcPr>
          <w:p w14:paraId="1422B8C7" w14:textId="77777777" w:rsidR="005C7D76" w:rsidRPr="005C7D76" w:rsidRDefault="005C7D76" w:rsidP="00CD63F7">
            <w:pPr>
              <w:overflowPunct/>
              <w:autoSpaceDE/>
              <w:spacing w:line="240" w:lineRule="auto"/>
              <w:jc w:val="center"/>
              <w:textAlignment w:val="auto"/>
              <w:rPr>
                <w:sz w:val="20"/>
              </w:rPr>
            </w:pPr>
            <w:r w:rsidRPr="005C7D76">
              <w:rPr>
                <w:sz w:val="20"/>
              </w:rPr>
              <w:t>7,06%</w:t>
            </w:r>
          </w:p>
        </w:tc>
        <w:tc>
          <w:tcPr>
            <w:tcW w:w="1748" w:type="dxa"/>
            <w:tcBorders>
              <w:bottom w:val="single" w:sz="4" w:space="0" w:color="auto"/>
              <w:right w:val="single" w:sz="8" w:space="0" w:color="000000"/>
            </w:tcBorders>
            <w:shd w:val="clear" w:color="auto" w:fill="auto"/>
            <w:noWrap/>
            <w:tcMar>
              <w:top w:w="0" w:type="dxa"/>
              <w:left w:w="70" w:type="dxa"/>
              <w:bottom w:w="0" w:type="dxa"/>
              <w:right w:w="70" w:type="dxa"/>
            </w:tcMar>
            <w:vAlign w:val="bottom"/>
          </w:tcPr>
          <w:p w14:paraId="13175BE6" w14:textId="77777777" w:rsidR="005C7D76" w:rsidRPr="005C7D76" w:rsidRDefault="005C7D76" w:rsidP="00810497">
            <w:pPr>
              <w:overflowPunct/>
              <w:autoSpaceDE/>
              <w:spacing w:line="240" w:lineRule="auto"/>
              <w:jc w:val="center"/>
              <w:textAlignment w:val="auto"/>
              <w:rPr>
                <w:sz w:val="20"/>
              </w:rPr>
            </w:pPr>
            <w:r w:rsidRPr="005C7D76">
              <w:rPr>
                <w:sz w:val="20"/>
              </w:rPr>
              <w:t>8,30%</w:t>
            </w:r>
          </w:p>
        </w:tc>
      </w:tr>
      <w:tr w:rsidR="005C7D76" w:rsidRPr="005C7D76" w14:paraId="0A8D2E50" w14:textId="77777777" w:rsidTr="004D17AE">
        <w:trPr>
          <w:trHeight w:val="270"/>
          <w:jc w:val="center"/>
        </w:trPr>
        <w:tc>
          <w:tcPr>
            <w:tcW w:w="5631" w:type="dxa"/>
            <w:gridSpan w:val="2"/>
            <w:noWrap/>
            <w:tcMar>
              <w:top w:w="0" w:type="dxa"/>
              <w:left w:w="70" w:type="dxa"/>
              <w:bottom w:w="0" w:type="dxa"/>
              <w:right w:w="70" w:type="dxa"/>
            </w:tcMar>
          </w:tcPr>
          <w:p w14:paraId="1D824649" w14:textId="77777777" w:rsidR="005C7D76" w:rsidRPr="005C7D76" w:rsidRDefault="005C7D76" w:rsidP="005C7D76">
            <w:pPr>
              <w:overflowPunct/>
              <w:autoSpaceDE/>
              <w:spacing w:line="240" w:lineRule="auto"/>
              <w:jc w:val="left"/>
              <w:textAlignment w:val="auto"/>
              <w:rPr>
                <w:sz w:val="20"/>
              </w:rPr>
            </w:pPr>
            <w:r w:rsidRPr="005C7D76">
              <w:rPr>
                <w:b/>
                <w:i/>
                <w:iCs/>
                <w:sz w:val="20"/>
              </w:rPr>
              <w:t>Legenda:</w:t>
            </w:r>
          </w:p>
        </w:tc>
        <w:tc>
          <w:tcPr>
            <w:tcW w:w="1748" w:type="dxa"/>
            <w:tcBorders>
              <w:top w:val="single" w:sz="4" w:space="0" w:color="auto"/>
            </w:tcBorders>
            <w:shd w:val="clear" w:color="auto" w:fill="auto"/>
            <w:noWrap/>
            <w:tcMar>
              <w:top w:w="0" w:type="dxa"/>
              <w:left w:w="70" w:type="dxa"/>
              <w:bottom w:w="0" w:type="dxa"/>
              <w:right w:w="70" w:type="dxa"/>
            </w:tcMar>
            <w:vAlign w:val="bottom"/>
          </w:tcPr>
          <w:p w14:paraId="29CF2362" w14:textId="77777777" w:rsidR="005C7D76" w:rsidRPr="005C7D76" w:rsidRDefault="005C7D76" w:rsidP="005C7D76">
            <w:pPr>
              <w:overflowPunct/>
              <w:autoSpaceDE/>
              <w:spacing w:line="240" w:lineRule="auto"/>
              <w:jc w:val="left"/>
              <w:textAlignment w:val="auto"/>
              <w:rPr>
                <w:i/>
                <w:iCs/>
                <w:sz w:val="20"/>
              </w:rPr>
            </w:pPr>
          </w:p>
        </w:tc>
      </w:tr>
      <w:tr w:rsidR="005C7D76" w:rsidRPr="005C7D76" w14:paraId="3046F4BD" w14:textId="77777777" w:rsidTr="004D17AE">
        <w:trPr>
          <w:trHeight w:val="270"/>
          <w:jc w:val="center"/>
        </w:trPr>
        <w:tc>
          <w:tcPr>
            <w:tcW w:w="5631" w:type="dxa"/>
            <w:gridSpan w:val="2"/>
            <w:noWrap/>
            <w:tcMar>
              <w:top w:w="0" w:type="dxa"/>
              <w:left w:w="70" w:type="dxa"/>
              <w:bottom w:w="0" w:type="dxa"/>
              <w:right w:w="70" w:type="dxa"/>
            </w:tcMar>
          </w:tcPr>
          <w:p w14:paraId="65366004" w14:textId="77777777" w:rsidR="005C7D76" w:rsidRPr="005C7D76" w:rsidRDefault="005C7D76" w:rsidP="005C7D76">
            <w:pPr>
              <w:overflowPunct/>
              <w:autoSpaceDE/>
              <w:spacing w:line="240" w:lineRule="auto"/>
              <w:jc w:val="left"/>
              <w:textAlignment w:val="auto"/>
              <w:rPr>
                <w:sz w:val="20"/>
              </w:rPr>
            </w:pPr>
            <w:r w:rsidRPr="005C7D76">
              <w:rPr>
                <w:i/>
                <w:iCs/>
                <w:sz w:val="20"/>
              </w:rPr>
              <w:t>N = Capitale proprio</w:t>
            </w:r>
          </w:p>
        </w:tc>
        <w:tc>
          <w:tcPr>
            <w:tcW w:w="1748" w:type="dxa"/>
            <w:shd w:val="clear" w:color="auto" w:fill="auto"/>
            <w:noWrap/>
            <w:tcMar>
              <w:top w:w="0" w:type="dxa"/>
              <w:left w:w="70" w:type="dxa"/>
              <w:bottom w:w="0" w:type="dxa"/>
              <w:right w:w="70" w:type="dxa"/>
            </w:tcMar>
            <w:vAlign w:val="bottom"/>
          </w:tcPr>
          <w:p w14:paraId="720E790E" w14:textId="77777777" w:rsidR="005C7D76" w:rsidRPr="005C7D76" w:rsidRDefault="005C7D76" w:rsidP="005C7D76">
            <w:pPr>
              <w:overflowPunct/>
              <w:autoSpaceDE/>
              <w:spacing w:line="240" w:lineRule="auto"/>
              <w:jc w:val="left"/>
              <w:textAlignment w:val="auto"/>
              <w:rPr>
                <w:i/>
                <w:iCs/>
                <w:sz w:val="20"/>
              </w:rPr>
            </w:pPr>
          </w:p>
        </w:tc>
      </w:tr>
      <w:tr w:rsidR="005C7D76" w:rsidRPr="005C7D76" w14:paraId="019E51B0" w14:textId="77777777" w:rsidTr="004D17AE">
        <w:trPr>
          <w:trHeight w:val="270"/>
          <w:jc w:val="center"/>
        </w:trPr>
        <w:tc>
          <w:tcPr>
            <w:tcW w:w="5631" w:type="dxa"/>
            <w:gridSpan w:val="2"/>
            <w:noWrap/>
            <w:tcMar>
              <w:top w:w="0" w:type="dxa"/>
              <w:left w:w="70" w:type="dxa"/>
              <w:bottom w:w="0" w:type="dxa"/>
              <w:right w:w="70" w:type="dxa"/>
            </w:tcMar>
          </w:tcPr>
          <w:p w14:paraId="2D27CACE" w14:textId="77777777" w:rsidR="005C7D76" w:rsidRPr="005C7D76" w:rsidRDefault="005C7D76" w:rsidP="005C7D76">
            <w:pPr>
              <w:overflowPunct/>
              <w:autoSpaceDE/>
              <w:spacing w:line="240" w:lineRule="auto"/>
              <w:jc w:val="left"/>
              <w:textAlignment w:val="auto"/>
              <w:rPr>
                <w:sz w:val="20"/>
              </w:rPr>
            </w:pPr>
            <w:r w:rsidRPr="005C7D76">
              <w:rPr>
                <w:i/>
                <w:iCs/>
                <w:sz w:val="20"/>
              </w:rPr>
              <w:t>Rn = Reddito Netto</w:t>
            </w:r>
          </w:p>
        </w:tc>
        <w:tc>
          <w:tcPr>
            <w:tcW w:w="1748" w:type="dxa"/>
            <w:shd w:val="clear" w:color="auto" w:fill="auto"/>
            <w:noWrap/>
            <w:tcMar>
              <w:top w:w="0" w:type="dxa"/>
              <w:left w:w="70" w:type="dxa"/>
              <w:bottom w:w="0" w:type="dxa"/>
              <w:right w:w="70" w:type="dxa"/>
            </w:tcMar>
            <w:vAlign w:val="bottom"/>
          </w:tcPr>
          <w:p w14:paraId="6A9C1A00" w14:textId="77777777" w:rsidR="005C7D76" w:rsidRPr="005C7D76" w:rsidRDefault="005C7D76" w:rsidP="005C7D76">
            <w:pPr>
              <w:overflowPunct/>
              <w:autoSpaceDE/>
              <w:spacing w:line="240" w:lineRule="auto"/>
              <w:jc w:val="left"/>
              <w:textAlignment w:val="auto"/>
              <w:rPr>
                <w:i/>
                <w:iCs/>
                <w:sz w:val="20"/>
              </w:rPr>
            </w:pPr>
          </w:p>
        </w:tc>
      </w:tr>
      <w:tr w:rsidR="005C7D76" w:rsidRPr="005C7D76" w14:paraId="20FA2A1E" w14:textId="77777777" w:rsidTr="004D17AE">
        <w:trPr>
          <w:trHeight w:val="270"/>
          <w:jc w:val="center"/>
        </w:trPr>
        <w:tc>
          <w:tcPr>
            <w:tcW w:w="5631" w:type="dxa"/>
            <w:gridSpan w:val="2"/>
            <w:noWrap/>
            <w:tcMar>
              <w:top w:w="0" w:type="dxa"/>
              <w:left w:w="70" w:type="dxa"/>
              <w:bottom w:w="0" w:type="dxa"/>
              <w:right w:w="70" w:type="dxa"/>
            </w:tcMar>
          </w:tcPr>
          <w:p w14:paraId="31B07EB1" w14:textId="77777777" w:rsidR="005C7D76" w:rsidRPr="005C7D76" w:rsidRDefault="005C7D76" w:rsidP="005C7D76">
            <w:pPr>
              <w:overflowPunct/>
              <w:autoSpaceDE/>
              <w:spacing w:line="240" w:lineRule="auto"/>
              <w:jc w:val="left"/>
              <w:textAlignment w:val="auto"/>
              <w:rPr>
                <w:sz w:val="20"/>
              </w:rPr>
            </w:pPr>
            <w:r w:rsidRPr="005C7D76">
              <w:rPr>
                <w:i/>
                <w:iCs/>
                <w:sz w:val="20"/>
              </w:rPr>
              <w:t>EBITDA =Reddito Operativo ante ammortamenti</w:t>
            </w:r>
          </w:p>
        </w:tc>
        <w:tc>
          <w:tcPr>
            <w:tcW w:w="1748" w:type="dxa"/>
            <w:shd w:val="clear" w:color="auto" w:fill="auto"/>
            <w:noWrap/>
            <w:tcMar>
              <w:top w:w="0" w:type="dxa"/>
              <w:left w:w="70" w:type="dxa"/>
              <w:bottom w:w="0" w:type="dxa"/>
              <w:right w:w="70" w:type="dxa"/>
            </w:tcMar>
            <w:vAlign w:val="bottom"/>
          </w:tcPr>
          <w:p w14:paraId="5AF91727" w14:textId="77777777" w:rsidR="005C7D76" w:rsidRPr="005C7D76" w:rsidRDefault="005C7D76" w:rsidP="005C7D76">
            <w:pPr>
              <w:overflowPunct/>
              <w:autoSpaceDE/>
              <w:spacing w:line="240" w:lineRule="auto"/>
              <w:jc w:val="left"/>
              <w:textAlignment w:val="auto"/>
              <w:rPr>
                <w:i/>
                <w:iCs/>
                <w:sz w:val="20"/>
              </w:rPr>
            </w:pPr>
          </w:p>
        </w:tc>
      </w:tr>
      <w:tr w:rsidR="005C7D76" w:rsidRPr="005C7D76" w14:paraId="300B8E78" w14:textId="77777777" w:rsidTr="004D17AE">
        <w:trPr>
          <w:trHeight w:val="270"/>
          <w:jc w:val="center"/>
        </w:trPr>
        <w:tc>
          <w:tcPr>
            <w:tcW w:w="5631" w:type="dxa"/>
            <w:gridSpan w:val="2"/>
            <w:noWrap/>
            <w:tcMar>
              <w:top w:w="0" w:type="dxa"/>
              <w:left w:w="70" w:type="dxa"/>
              <w:bottom w:w="0" w:type="dxa"/>
              <w:right w:w="70" w:type="dxa"/>
            </w:tcMar>
          </w:tcPr>
          <w:p w14:paraId="382E951E" w14:textId="77777777" w:rsidR="005C7D76" w:rsidRPr="005C7D76" w:rsidRDefault="005C7D76" w:rsidP="005C7D76">
            <w:pPr>
              <w:overflowPunct/>
              <w:autoSpaceDE/>
              <w:spacing w:line="240" w:lineRule="auto"/>
              <w:jc w:val="left"/>
              <w:textAlignment w:val="auto"/>
              <w:rPr>
                <w:sz w:val="20"/>
              </w:rPr>
            </w:pPr>
            <w:r w:rsidRPr="005C7D76">
              <w:rPr>
                <w:i/>
                <w:iCs/>
                <w:sz w:val="20"/>
              </w:rPr>
              <w:t>EBIT = Reddito Operativo</w:t>
            </w:r>
          </w:p>
        </w:tc>
        <w:tc>
          <w:tcPr>
            <w:tcW w:w="1748" w:type="dxa"/>
            <w:shd w:val="clear" w:color="auto" w:fill="auto"/>
            <w:noWrap/>
            <w:tcMar>
              <w:top w:w="0" w:type="dxa"/>
              <w:left w:w="70" w:type="dxa"/>
              <w:bottom w:w="0" w:type="dxa"/>
              <w:right w:w="70" w:type="dxa"/>
            </w:tcMar>
            <w:vAlign w:val="bottom"/>
          </w:tcPr>
          <w:p w14:paraId="6E1B8007" w14:textId="77777777" w:rsidR="005C7D76" w:rsidRPr="005C7D76" w:rsidRDefault="005C7D76" w:rsidP="005C7D76">
            <w:pPr>
              <w:overflowPunct/>
              <w:autoSpaceDE/>
              <w:spacing w:line="240" w:lineRule="auto"/>
              <w:jc w:val="left"/>
              <w:textAlignment w:val="auto"/>
              <w:rPr>
                <w:i/>
                <w:iCs/>
                <w:sz w:val="20"/>
              </w:rPr>
            </w:pPr>
          </w:p>
        </w:tc>
      </w:tr>
      <w:tr w:rsidR="005C7D76" w:rsidRPr="005C7D76" w14:paraId="6A313BC6" w14:textId="77777777" w:rsidTr="004D17AE">
        <w:trPr>
          <w:trHeight w:val="270"/>
          <w:jc w:val="center"/>
        </w:trPr>
        <w:tc>
          <w:tcPr>
            <w:tcW w:w="5631" w:type="dxa"/>
            <w:gridSpan w:val="2"/>
            <w:noWrap/>
            <w:tcMar>
              <w:top w:w="0" w:type="dxa"/>
              <w:left w:w="70" w:type="dxa"/>
              <w:bottom w:w="0" w:type="dxa"/>
              <w:right w:w="70" w:type="dxa"/>
            </w:tcMar>
          </w:tcPr>
          <w:p w14:paraId="46656A3C" w14:textId="77777777" w:rsidR="005C7D76" w:rsidRPr="005C7D76" w:rsidRDefault="005C7D76" w:rsidP="005C7D76">
            <w:pPr>
              <w:overflowPunct/>
              <w:autoSpaceDE/>
              <w:spacing w:line="240" w:lineRule="auto"/>
              <w:jc w:val="left"/>
              <w:textAlignment w:val="auto"/>
              <w:rPr>
                <w:sz w:val="20"/>
              </w:rPr>
            </w:pPr>
            <w:r w:rsidRPr="005C7D76">
              <w:rPr>
                <w:i/>
                <w:iCs/>
                <w:sz w:val="20"/>
              </w:rPr>
              <w:t>Ko = Capitale investito operativo</w:t>
            </w:r>
          </w:p>
        </w:tc>
        <w:tc>
          <w:tcPr>
            <w:tcW w:w="1748" w:type="dxa"/>
            <w:shd w:val="clear" w:color="auto" w:fill="auto"/>
            <w:noWrap/>
            <w:tcMar>
              <w:top w:w="0" w:type="dxa"/>
              <w:left w:w="70" w:type="dxa"/>
              <w:bottom w:w="0" w:type="dxa"/>
              <w:right w:w="70" w:type="dxa"/>
            </w:tcMar>
            <w:vAlign w:val="bottom"/>
          </w:tcPr>
          <w:p w14:paraId="3BA95511" w14:textId="77777777" w:rsidR="005C7D76" w:rsidRPr="005C7D76" w:rsidRDefault="005C7D76" w:rsidP="005C7D76">
            <w:pPr>
              <w:overflowPunct/>
              <w:autoSpaceDE/>
              <w:spacing w:line="240" w:lineRule="auto"/>
              <w:jc w:val="left"/>
              <w:textAlignment w:val="auto"/>
              <w:rPr>
                <w:i/>
                <w:iCs/>
                <w:sz w:val="20"/>
              </w:rPr>
            </w:pPr>
          </w:p>
        </w:tc>
      </w:tr>
      <w:tr w:rsidR="005C7D76" w:rsidRPr="005C7D76" w14:paraId="3233C057" w14:textId="77777777" w:rsidTr="004D17AE">
        <w:trPr>
          <w:trHeight w:val="270"/>
          <w:jc w:val="center"/>
        </w:trPr>
        <w:tc>
          <w:tcPr>
            <w:tcW w:w="5631" w:type="dxa"/>
            <w:gridSpan w:val="2"/>
            <w:noWrap/>
            <w:tcMar>
              <w:top w:w="0" w:type="dxa"/>
              <w:left w:w="70" w:type="dxa"/>
              <w:bottom w:w="0" w:type="dxa"/>
              <w:right w:w="70" w:type="dxa"/>
            </w:tcMar>
          </w:tcPr>
          <w:p w14:paraId="7DCF0985" w14:textId="77777777" w:rsidR="005C7D76" w:rsidRPr="005C7D76" w:rsidRDefault="005C7D76" w:rsidP="005C7D76">
            <w:pPr>
              <w:overflowPunct/>
              <w:autoSpaceDE/>
              <w:spacing w:line="240" w:lineRule="auto"/>
              <w:jc w:val="left"/>
              <w:textAlignment w:val="auto"/>
              <w:rPr>
                <w:sz w:val="20"/>
              </w:rPr>
            </w:pPr>
            <w:r w:rsidRPr="005C7D76">
              <w:rPr>
                <w:i/>
                <w:iCs/>
                <w:sz w:val="20"/>
              </w:rPr>
              <w:t>V = Fatturato</w:t>
            </w:r>
          </w:p>
        </w:tc>
        <w:tc>
          <w:tcPr>
            <w:tcW w:w="1748" w:type="dxa"/>
            <w:shd w:val="clear" w:color="auto" w:fill="auto"/>
            <w:noWrap/>
            <w:tcMar>
              <w:top w:w="0" w:type="dxa"/>
              <w:left w:w="70" w:type="dxa"/>
              <w:bottom w:w="0" w:type="dxa"/>
              <w:right w:w="70" w:type="dxa"/>
            </w:tcMar>
            <w:vAlign w:val="bottom"/>
          </w:tcPr>
          <w:p w14:paraId="0AAD376B" w14:textId="77777777" w:rsidR="005C7D76" w:rsidRPr="005C7D76" w:rsidRDefault="005C7D76" w:rsidP="005C7D76">
            <w:pPr>
              <w:overflowPunct/>
              <w:autoSpaceDE/>
              <w:spacing w:line="240" w:lineRule="auto"/>
              <w:jc w:val="left"/>
              <w:textAlignment w:val="auto"/>
              <w:rPr>
                <w:i/>
                <w:iCs/>
                <w:sz w:val="20"/>
              </w:rPr>
            </w:pPr>
          </w:p>
        </w:tc>
      </w:tr>
    </w:tbl>
    <w:p w14:paraId="0666937D" w14:textId="77777777" w:rsidR="002E643C" w:rsidRPr="00162E69" w:rsidRDefault="007A19A9" w:rsidP="005C7D76">
      <w:pPr>
        <w:spacing w:after="240"/>
        <w:rPr>
          <w:szCs w:val="24"/>
        </w:rPr>
      </w:pPr>
      <w:r w:rsidRPr="00162E69">
        <w:rPr>
          <w:szCs w:val="24"/>
        </w:rPr>
        <w:t>Per quanto riguarda l’analisi della situazione patrimoniale e finanziaria della Società si riporta la riclassificazione dello Stato patrimoniale secondo la metodologia finanziaria.</w:t>
      </w:r>
    </w:p>
    <w:tbl>
      <w:tblPr>
        <w:tblW w:w="7493" w:type="dxa"/>
        <w:tblInd w:w="10" w:type="dxa"/>
        <w:tblLayout w:type="fixed"/>
        <w:tblCellMar>
          <w:left w:w="70" w:type="dxa"/>
          <w:right w:w="70" w:type="dxa"/>
        </w:tblCellMar>
        <w:tblLook w:val="04A0" w:firstRow="1" w:lastRow="0" w:firstColumn="1" w:lastColumn="0" w:noHBand="0" w:noVBand="1"/>
      </w:tblPr>
      <w:tblGrid>
        <w:gridCol w:w="1657"/>
        <w:gridCol w:w="1167"/>
        <w:gridCol w:w="1167"/>
        <w:gridCol w:w="1167"/>
        <w:gridCol w:w="1167"/>
        <w:gridCol w:w="1168"/>
      </w:tblGrid>
      <w:tr w:rsidR="00162E69" w:rsidRPr="005C7D76" w14:paraId="705096DC" w14:textId="77777777" w:rsidTr="004D17AE">
        <w:trPr>
          <w:cantSplit/>
          <w:trHeight w:val="405"/>
          <w:tblHeader/>
        </w:trPr>
        <w:tc>
          <w:tcPr>
            <w:tcW w:w="1657" w:type="dxa"/>
            <w:tcBorders>
              <w:top w:val="single" w:sz="8" w:space="0" w:color="auto"/>
              <w:left w:val="single" w:sz="8" w:space="0" w:color="auto"/>
              <w:bottom w:val="single" w:sz="8" w:space="0" w:color="auto"/>
              <w:right w:val="nil"/>
            </w:tcBorders>
            <w:shd w:val="clear" w:color="auto" w:fill="D0CECE" w:themeFill="background2" w:themeFillShade="E6"/>
            <w:noWrap/>
            <w:vAlign w:val="center"/>
            <w:hideMark/>
          </w:tcPr>
          <w:p w14:paraId="2834D9A2" w14:textId="77777777" w:rsidR="005C09E7" w:rsidRPr="005C7D76" w:rsidRDefault="005C09E7" w:rsidP="005C09E7">
            <w:pPr>
              <w:widowControl/>
              <w:suppressAutoHyphens w:val="0"/>
              <w:overflowPunct/>
              <w:autoSpaceDE/>
              <w:autoSpaceDN/>
              <w:spacing w:line="240" w:lineRule="auto"/>
              <w:jc w:val="center"/>
              <w:textAlignment w:val="auto"/>
              <w:rPr>
                <w:b/>
                <w:bCs/>
                <w:sz w:val="20"/>
              </w:rPr>
            </w:pPr>
            <w:r w:rsidRPr="005C7D76">
              <w:rPr>
                <w:b/>
                <w:bCs/>
                <w:sz w:val="20"/>
              </w:rPr>
              <w:t>IMPIEGHI</w:t>
            </w:r>
          </w:p>
        </w:tc>
        <w:tc>
          <w:tcPr>
            <w:tcW w:w="1167" w:type="dxa"/>
            <w:tcBorders>
              <w:top w:val="single" w:sz="8" w:space="0" w:color="auto"/>
              <w:left w:val="single" w:sz="4" w:space="0" w:color="auto"/>
              <w:bottom w:val="single" w:sz="8" w:space="0" w:color="auto"/>
              <w:right w:val="single" w:sz="4" w:space="0" w:color="auto"/>
            </w:tcBorders>
            <w:shd w:val="clear" w:color="auto" w:fill="D0CECE" w:themeFill="background2" w:themeFillShade="E6"/>
            <w:noWrap/>
            <w:vAlign w:val="center"/>
            <w:hideMark/>
          </w:tcPr>
          <w:p w14:paraId="0E8DF0AC" w14:textId="77777777" w:rsidR="005C09E7" w:rsidRPr="005C7D76" w:rsidRDefault="005C09E7" w:rsidP="005C09E7">
            <w:pPr>
              <w:widowControl/>
              <w:suppressAutoHyphens w:val="0"/>
              <w:overflowPunct/>
              <w:autoSpaceDE/>
              <w:autoSpaceDN/>
              <w:spacing w:line="240" w:lineRule="auto"/>
              <w:jc w:val="right"/>
              <w:textAlignment w:val="auto"/>
              <w:rPr>
                <w:b/>
                <w:bCs/>
                <w:sz w:val="20"/>
              </w:rPr>
            </w:pPr>
            <w:r w:rsidRPr="005C7D76">
              <w:rPr>
                <w:b/>
                <w:bCs/>
                <w:sz w:val="20"/>
              </w:rPr>
              <w:t>31/12/21</w:t>
            </w:r>
          </w:p>
        </w:tc>
        <w:tc>
          <w:tcPr>
            <w:tcW w:w="1167" w:type="dxa"/>
            <w:tcBorders>
              <w:top w:val="single" w:sz="8" w:space="0" w:color="auto"/>
              <w:left w:val="single" w:sz="4" w:space="0" w:color="auto"/>
              <w:bottom w:val="single" w:sz="8" w:space="0" w:color="auto"/>
              <w:right w:val="single" w:sz="4" w:space="0" w:color="auto"/>
            </w:tcBorders>
            <w:shd w:val="clear" w:color="auto" w:fill="D0CECE" w:themeFill="background2" w:themeFillShade="E6"/>
            <w:noWrap/>
            <w:vAlign w:val="center"/>
            <w:hideMark/>
          </w:tcPr>
          <w:p w14:paraId="7656C1A2" w14:textId="77777777" w:rsidR="005C09E7" w:rsidRPr="005C7D76" w:rsidRDefault="005C09E7" w:rsidP="005C09E7">
            <w:pPr>
              <w:widowControl/>
              <w:suppressAutoHyphens w:val="0"/>
              <w:overflowPunct/>
              <w:autoSpaceDE/>
              <w:autoSpaceDN/>
              <w:spacing w:line="240" w:lineRule="auto"/>
              <w:jc w:val="right"/>
              <w:textAlignment w:val="auto"/>
              <w:rPr>
                <w:b/>
                <w:bCs/>
                <w:sz w:val="20"/>
              </w:rPr>
            </w:pPr>
            <w:r w:rsidRPr="005C7D76">
              <w:rPr>
                <w:b/>
                <w:bCs/>
                <w:sz w:val="20"/>
              </w:rPr>
              <w:t>31/12/20</w:t>
            </w:r>
          </w:p>
        </w:tc>
        <w:tc>
          <w:tcPr>
            <w:tcW w:w="1167" w:type="dxa"/>
            <w:tcBorders>
              <w:top w:val="single" w:sz="8" w:space="0" w:color="auto"/>
              <w:left w:val="single" w:sz="4" w:space="0" w:color="auto"/>
              <w:bottom w:val="single" w:sz="8" w:space="0" w:color="auto"/>
              <w:right w:val="nil"/>
            </w:tcBorders>
            <w:shd w:val="clear" w:color="auto" w:fill="D0CECE" w:themeFill="background2" w:themeFillShade="E6"/>
            <w:noWrap/>
            <w:vAlign w:val="center"/>
            <w:hideMark/>
          </w:tcPr>
          <w:p w14:paraId="794F6B2B" w14:textId="77777777" w:rsidR="005C09E7" w:rsidRPr="005C7D76" w:rsidRDefault="005C09E7" w:rsidP="005C09E7">
            <w:pPr>
              <w:widowControl/>
              <w:suppressAutoHyphens w:val="0"/>
              <w:overflowPunct/>
              <w:autoSpaceDE/>
              <w:autoSpaceDN/>
              <w:spacing w:line="240" w:lineRule="auto"/>
              <w:jc w:val="center"/>
              <w:textAlignment w:val="auto"/>
              <w:rPr>
                <w:b/>
                <w:bCs/>
                <w:sz w:val="20"/>
              </w:rPr>
            </w:pPr>
            <w:r w:rsidRPr="005C7D76">
              <w:rPr>
                <w:b/>
                <w:bCs/>
                <w:sz w:val="20"/>
              </w:rPr>
              <w:t>FONTI</w:t>
            </w:r>
          </w:p>
        </w:tc>
        <w:tc>
          <w:tcPr>
            <w:tcW w:w="1167" w:type="dxa"/>
            <w:tcBorders>
              <w:top w:val="single" w:sz="8" w:space="0" w:color="auto"/>
              <w:left w:val="single" w:sz="4" w:space="0" w:color="auto"/>
              <w:bottom w:val="single" w:sz="8" w:space="0" w:color="auto"/>
              <w:right w:val="single" w:sz="4" w:space="0" w:color="auto"/>
            </w:tcBorders>
            <w:shd w:val="clear" w:color="auto" w:fill="D0CECE" w:themeFill="background2" w:themeFillShade="E6"/>
            <w:noWrap/>
            <w:vAlign w:val="center"/>
            <w:hideMark/>
          </w:tcPr>
          <w:p w14:paraId="76CF529E" w14:textId="77777777" w:rsidR="005C09E7" w:rsidRPr="005C7D76" w:rsidRDefault="005C09E7" w:rsidP="005C09E7">
            <w:pPr>
              <w:widowControl/>
              <w:suppressAutoHyphens w:val="0"/>
              <w:overflowPunct/>
              <w:autoSpaceDE/>
              <w:autoSpaceDN/>
              <w:spacing w:line="240" w:lineRule="auto"/>
              <w:jc w:val="right"/>
              <w:textAlignment w:val="auto"/>
              <w:rPr>
                <w:b/>
                <w:bCs/>
                <w:sz w:val="20"/>
              </w:rPr>
            </w:pPr>
            <w:r w:rsidRPr="005C7D76">
              <w:rPr>
                <w:b/>
                <w:bCs/>
                <w:sz w:val="20"/>
              </w:rPr>
              <w:t>31/12/21</w:t>
            </w:r>
          </w:p>
        </w:tc>
        <w:tc>
          <w:tcPr>
            <w:tcW w:w="1168" w:type="dxa"/>
            <w:tcBorders>
              <w:top w:val="single" w:sz="8" w:space="0" w:color="auto"/>
              <w:left w:val="single" w:sz="4" w:space="0" w:color="auto"/>
              <w:bottom w:val="single" w:sz="8" w:space="0" w:color="auto"/>
              <w:right w:val="single" w:sz="4" w:space="0" w:color="auto"/>
            </w:tcBorders>
            <w:shd w:val="clear" w:color="auto" w:fill="D0CECE" w:themeFill="background2" w:themeFillShade="E6"/>
            <w:noWrap/>
            <w:vAlign w:val="center"/>
            <w:hideMark/>
          </w:tcPr>
          <w:p w14:paraId="0AA17D4D" w14:textId="77777777" w:rsidR="005C09E7" w:rsidRPr="005C7D76" w:rsidRDefault="005C09E7" w:rsidP="005C09E7">
            <w:pPr>
              <w:widowControl/>
              <w:suppressAutoHyphens w:val="0"/>
              <w:overflowPunct/>
              <w:autoSpaceDE/>
              <w:autoSpaceDN/>
              <w:spacing w:line="240" w:lineRule="auto"/>
              <w:jc w:val="right"/>
              <w:textAlignment w:val="auto"/>
              <w:rPr>
                <w:b/>
                <w:bCs/>
                <w:sz w:val="20"/>
              </w:rPr>
            </w:pPr>
            <w:r w:rsidRPr="005C7D76">
              <w:rPr>
                <w:b/>
                <w:bCs/>
                <w:sz w:val="20"/>
              </w:rPr>
              <w:t>31/12/20</w:t>
            </w:r>
          </w:p>
        </w:tc>
      </w:tr>
      <w:tr w:rsidR="00162E69" w:rsidRPr="005C7D76" w14:paraId="1AC1C18A" w14:textId="77777777" w:rsidTr="004D17AE">
        <w:trPr>
          <w:cantSplit/>
          <w:trHeight w:val="255"/>
        </w:trPr>
        <w:tc>
          <w:tcPr>
            <w:tcW w:w="1657" w:type="dxa"/>
            <w:tcBorders>
              <w:top w:val="nil"/>
              <w:left w:val="single" w:sz="8" w:space="0" w:color="auto"/>
              <w:bottom w:val="single" w:sz="4" w:space="0" w:color="auto"/>
              <w:right w:val="nil"/>
            </w:tcBorders>
            <w:shd w:val="clear" w:color="auto" w:fill="auto"/>
            <w:noWrap/>
            <w:vAlign w:val="bottom"/>
            <w:hideMark/>
          </w:tcPr>
          <w:p w14:paraId="5EB87659" w14:textId="77777777" w:rsidR="005C09E7" w:rsidRPr="005C7D76" w:rsidRDefault="005C09E7" w:rsidP="005C09E7">
            <w:pPr>
              <w:widowControl/>
              <w:suppressAutoHyphens w:val="0"/>
              <w:overflowPunct/>
              <w:autoSpaceDE/>
              <w:autoSpaceDN/>
              <w:spacing w:line="240" w:lineRule="auto"/>
              <w:jc w:val="left"/>
              <w:textAlignment w:val="auto"/>
              <w:rPr>
                <w:sz w:val="20"/>
              </w:rPr>
            </w:pPr>
            <w:r w:rsidRPr="005C7D76">
              <w:rPr>
                <w:sz w:val="20"/>
              </w:rPr>
              <w:t>Immobilizzazioni immateriali</w:t>
            </w:r>
          </w:p>
        </w:tc>
        <w:tc>
          <w:tcPr>
            <w:tcW w:w="1167" w:type="dxa"/>
            <w:tcBorders>
              <w:top w:val="nil"/>
              <w:left w:val="single" w:sz="4" w:space="0" w:color="auto"/>
              <w:bottom w:val="single" w:sz="4" w:space="0" w:color="auto"/>
              <w:right w:val="single" w:sz="4" w:space="0" w:color="auto"/>
            </w:tcBorders>
            <w:shd w:val="clear" w:color="auto" w:fill="auto"/>
            <w:noWrap/>
            <w:vAlign w:val="bottom"/>
            <w:hideMark/>
          </w:tcPr>
          <w:p w14:paraId="65A11B0F" w14:textId="77777777" w:rsidR="005C09E7" w:rsidRPr="005C7D76" w:rsidRDefault="005C09E7" w:rsidP="005C09E7">
            <w:pPr>
              <w:widowControl/>
              <w:suppressAutoHyphens w:val="0"/>
              <w:overflowPunct/>
              <w:autoSpaceDE/>
              <w:autoSpaceDN/>
              <w:spacing w:line="240" w:lineRule="auto"/>
              <w:jc w:val="right"/>
              <w:textAlignment w:val="auto"/>
              <w:rPr>
                <w:sz w:val="20"/>
              </w:rPr>
            </w:pPr>
            <w:r w:rsidRPr="005C7D76">
              <w:rPr>
                <w:sz w:val="20"/>
              </w:rPr>
              <w:t>362.699</w:t>
            </w:r>
          </w:p>
        </w:tc>
        <w:tc>
          <w:tcPr>
            <w:tcW w:w="1167" w:type="dxa"/>
            <w:tcBorders>
              <w:top w:val="nil"/>
              <w:left w:val="single" w:sz="4" w:space="0" w:color="auto"/>
              <w:bottom w:val="single" w:sz="4" w:space="0" w:color="auto"/>
              <w:right w:val="single" w:sz="4" w:space="0" w:color="auto"/>
            </w:tcBorders>
            <w:shd w:val="clear" w:color="auto" w:fill="auto"/>
            <w:noWrap/>
            <w:vAlign w:val="bottom"/>
            <w:hideMark/>
          </w:tcPr>
          <w:p w14:paraId="7097E969" w14:textId="77777777" w:rsidR="005C09E7" w:rsidRPr="005C7D76" w:rsidRDefault="005C09E7" w:rsidP="005C09E7">
            <w:pPr>
              <w:widowControl/>
              <w:suppressAutoHyphens w:val="0"/>
              <w:overflowPunct/>
              <w:autoSpaceDE/>
              <w:autoSpaceDN/>
              <w:spacing w:line="240" w:lineRule="auto"/>
              <w:jc w:val="right"/>
              <w:textAlignment w:val="auto"/>
              <w:rPr>
                <w:sz w:val="20"/>
              </w:rPr>
            </w:pPr>
            <w:r w:rsidRPr="005C7D76">
              <w:rPr>
                <w:sz w:val="20"/>
              </w:rPr>
              <w:t>420.694</w:t>
            </w:r>
          </w:p>
        </w:tc>
        <w:tc>
          <w:tcPr>
            <w:tcW w:w="1167" w:type="dxa"/>
            <w:vMerge w:val="restart"/>
            <w:tcBorders>
              <w:top w:val="nil"/>
              <w:left w:val="single" w:sz="4" w:space="0" w:color="auto"/>
              <w:bottom w:val="single" w:sz="4" w:space="0" w:color="000000"/>
              <w:right w:val="nil"/>
            </w:tcBorders>
            <w:shd w:val="clear" w:color="auto" w:fill="auto"/>
            <w:noWrap/>
            <w:vAlign w:val="center"/>
            <w:hideMark/>
          </w:tcPr>
          <w:p w14:paraId="0EE24E9E" w14:textId="77777777" w:rsidR="005C09E7" w:rsidRPr="005C7D76" w:rsidRDefault="005C09E7" w:rsidP="005C09E7">
            <w:pPr>
              <w:widowControl/>
              <w:suppressAutoHyphens w:val="0"/>
              <w:overflowPunct/>
              <w:autoSpaceDE/>
              <w:autoSpaceDN/>
              <w:spacing w:line="240" w:lineRule="auto"/>
              <w:jc w:val="left"/>
              <w:textAlignment w:val="auto"/>
              <w:rPr>
                <w:sz w:val="20"/>
              </w:rPr>
            </w:pPr>
            <w:r w:rsidRPr="005C7D76">
              <w:rPr>
                <w:sz w:val="20"/>
              </w:rPr>
              <w:t>Patrimonio netto (N)</w:t>
            </w:r>
          </w:p>
        </w:tc>
        <w:tc>
          <w:tcPr>
            <w:tcW w:w="116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AEEC56A" w14:textId="77777777" w:rsidR="005C09E7" w:rsidRPr="005C7D76" w:rsidRDefault="005C09E7" w:rsidP="005C09E7">
            <w:pPr>
              <w:widowControl/>
              <w:suppressAutoHyphens w:val="0"/>
              <w:overflowPunct/>
              <w:autoSpaceDE/>
              <w:autoSpaceDN/>
              <w:spacing w:line="240" w:lineRule="auto"/>
              <w:jc w:val="right"/>
              <w:textAlignment w:val="auto"/>
              <w:rPr>
                <w:sz w:val="20"/>
              </w:rPr>
            </w:pPr>
            <w:r w:rsidRPr="005C7D76">
              <w:rPr>
                <w:sz w:val="20"/>
              </w:rPr>
              <w:t>23.708.322</w:t>
            </w:r>
          </w:p>
        </w:tc>
        <w:tc>
          <w:tcPr>
            <w:tcW w:w="116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51827F5" w14:textId="77777777" w:rsidR="005C09E7" w:rsidRPr="005C7D76" w:rsidRDefault="005C09E7" w:rsidP="005C09E7">
            <w:pPr>
              <w:widowControl/>
              <w:suppressAutoHyphens w:val="0"/>
              <w:overflowPunct/>
              <w:autoSpaceDE/>
              <w:autoSpaceDN/>
              <w:spacing w:line="240" w:lineRule="auto"/>
              <w:jc w:val="right"/>
              <w:textAlignment w:val="auto"/>
              <w:rPr>
                <w:sz w:val="20"/>
              </w:rPr>
            </w:pPr>
            <w:r w:rsidRPr="005C7D76">
              <w:rPr>
                <w:sz w:val="20"/>
              </w:rPr>
              <w:t>21.794.592</w:t>
            </w:r>
          </w:p>
        </w:tc>
      </w:tr>
      <w:tr w:rsidR="00162E69" w:rsidRPr="005C7D76" w14:paraId="2173945C" w14:textId="77777777" w:rsidTr="004D17AE">
        <w:trPr>
          <w:cantSplit/>
          <w:trHeight w:val="255"/>
        </w:trPr>
        <w:tc>
          <w:tcPr>
            <w:tcW w:w="1657" w:type="dxa"/>
            <w:tcBorders>
              <w:top w:val="nil"/>
              <w:left w:val="single" w:sz="8" w:space="0" w:color="auto"/>
              <w:bottom w:val="single" w:sz="4" w:space="0" w:color="auto"/>
              <w:right w:val="nil"/>
            </w:tcBorders>
            <w:shd w:val="clear" w:color="auto" w:fill="auto"/>
            <w:noWrap/>
            <w:vAlign w:val="bottom"/>
            <w:hideMark/>
          </w:tcPr>
          <w:p w14:paraId="162A9551" w14:textId="77777777" w:rsidR="005C09E7" w:rsidRPr="005C7D76" w:rsidRDefault="005C09E7" w:rsidP="005C09E7">
            <w:pPr>
              <w:widowControl/>
              <w:suppressAutoHyphens w:val="0"/>
              <w:overflowPunct/>
              <w:autoSpaceDE/>
              <w:autoSpaceDN/>
              <w:spacing w:line="240" w:lineRule="auto"/>
              <w:jc w:val="left"/>
              <w:textAlignment w:val="auto"/>
              <w:rPr>
                <w:sz w:val="20"/>
              </w:rPr>
            </w:pPr>
            <w:r w:rsidRPr="005C7D76">
              <w:rPr>
                <w:sz w:val="20"/>
              </w:rPr>
              <w:t>Immobilizzazioni materiali</w:t>
            </w:r>
          </w:p>
        </w:tc>
        <w:tc>
          <w:tcPr>
            <w:tcW w:w="1167" w:type="dxa"/>
            <w:tcBorders>
              <w:top w:val="nil"/>
              <w:left w:val="single" w:sz="4" w:space="0" w:color="auto"/>
              <w:bottom w:val="single" w:sz="4" w:space="0" w:color="auto"/>
              <w:right w:val="single" w:sz="4" w:space="0" w:color="auto"/>
            </w:tcBorders>
            <w:shd w:val="clear" w:color="auto" w:fill="auto"/>
            <w:noWrap/>
            <w:vAlign w:val="bottom"/>
            <w:hideMark/>
          </w:tcPr>
          <w:p w14:paraId="7AAEF128" w14:textId="77777777" w:rsidR="005C09E7" w:rsidRPr="005C7D76" w:rsidRDefault="005C09E7" w:rsidP="005C09E7">
            <w:pPr>
              <w:widowControl/>
              <w:suppressAutoHyphens w:val="0"/>
              <w:overflowPunct/>
              <w:autoSpaceDE/>
              <w:autoSpaceDN/>
              <w:spacing w:line="240" w:lineRule="auto"/>
              <w:jc w:val="right"/>
              <w:textAlignment w:val="auto"/>
              <w:rPr>
                <w:sz w:val="20"/>
              </w:rPr>
            </w:pPr>
            <w:r w:rsidRPr="005C7D76">
              <w:rPr>
                <w:sz w:val="20"/>
              </w:rPr>
              <w:t>1.843.837</w:t>
            </w:r>
          </w:p>
        </w:tc>
        <w:tc>
          <w:tcPr>
            <w:tcW w:w="1167" w:type="dxa"/>
            <w:tcBorders>
              <w:top w:val="nil"/>
              <w:left w:val="single" w:sz="4" w:space="0" w:color="auto"/>
              <w:bottom w:val="single" w:sz="4" w:space="0" w:color="auto"/>
              <w:right w:val="single" w:sz="4" w:space="0" w:color="auto"/>
            </w:tcBorders>
            <w:shd w:val="clear" w:color="auto" w:fill="auto"/>
            <w:noWrap/>
            <w:vAlign w:val="bottom"/>
            <w:hideMark/>
          </w:tcPr>
          <w:p w14:paraId="2466763B" w14:textId="77777777" w:rsidR="005C09E7" w:rsidRPr="005C7D76" w:rsidRDefault="005C09E7" w:rsidP="005C09E7">
            <w:pPr>
              <w:widowControl/>
              <w:suppressAutoHyphens w:val="0"/>
              <w:overflowPunct/>
              <w:autoSpaceDE/>
              <w:autoSpaceDN/>
              <w:spacing w:line="240" w:lineRule="auto"/>
              <w:jc w:val="right"/>
              <w:textAlignment w:val="auto"/>
              <w:rPr>
                <w:sz w:val="20"/>
              </w:rPr>
            </w:pPr>
            <w:r w:rsidRPr="005C7D76">
              <w:rPr>
                <w:sz w:val="20"/>
              </w:rPr>
              <w:t>2.322.562</w:t>
            </w:r>
          </w:p>
        </w:tc>
        <w:tc>
          <w:tcPr>
            <w:tcW w:w="1167" w:type="dxa"/>
            <w:vMerge/>
            <w:tcBorders>
              <w:top w:val="nil"/>
              <w:left w:val="single" w:sz="4" w:space="0" w:color="auto"/>
              <w:bottom w:val="single" w:sz="4" w:space="0" w:color="000000"/>
              <w:right w:val="nil"/>
            </w:tcBorders>
            <w:vAlign w:val="center"/>
            <w:hideMark/>
          </w:tcPr>
          <w:p w14:paraId="09D28217" w14:textId="77777777" w:rsidR="005C09E7" w:rsidRPr="005C7D76" w:rsidRDefault="005C09E7" w:rsidP="005C09E7">
            <w:pPr>
              <w:widowControl/>
              <w:suppressAutoHyphens w:val="0"/>
              <w:overflowPunct/>
              <w:autoSpaceDE/>
              <w:autoSpaceDN/>
              <w:spacing w:line="240" w:lineRule="auto"/>
              <w:jc w:val="left"/>
              <w:textAlignment w:val="auto"/>
              <w:rPr>
                <w:sz w:val="20"/>
              </w:rPr>
            </w:pPr>
          </w:p>
        </w:tc>
        <w:tc>
          <w:tcPr>
            <w:tcW w:w="1167" w:type="dxa"/>
            <w:vMerge/>
            <w:tcBorders>
              <w:top w:val="nil"/>
              <w:left w:val="single" w:sz="4" w:space="0" w:color="auto"/>
              <w:bottom w:val="single" w:sz="4" w:space="0" w:color="000000"/>
              <w:right w:val="single" w:sz="4" w:space="0" w:color="auto"/>
            </w:tcBorders>
            <w:vAlign w:val="center"/>
            <w:hideMark/>
          </w:tcPr>
          <w:p w14:paraId="6BD558DC" w14:textId="77777777" w:rsidR="005C09E7" w:rsidRPr="005C7D76" w:rsidRDefault="005C09E7" w:rsidP="005C09E7">
            <w:pPr>
              <w:widowControl/>
              <w:suppressAutoHyphens w:val="0"/>
              <w:overflowPunct/>
              <w:autoSpaceDE/>
              <w:autoSpaceDN/>
              <w:spacing w:line="240" w:lineRule="auto"/>
              <w:jc w:val="left"/>
              <w:textAlignment w:val="auto"/>
              <w:rPr>
                <w:sz w:val="20"/>
              </w:rPr>
            </w:pPr>
          </w:p>
        </w:tc>
        <w:tc>
          <w:tcPr>
            <w:tcW w:w="1168" w:type="dxa"/>
            <w:vMerge/>
            <w:tcBorders>
              <w:top w:val="nil"/>
              <w:left w:val="single" w:sz="4" w:space="0" w:color="auto"/>
              <w:bottom w:val="single" w:sz="4" w:space="0" w:color="000000"/>
              <w:right w:val="single" w:sz="4" w:space="0" w:color="auto"/>
            </w:tcBorders>
            <w:vAlign w:val="center"/>
            <w:hideMark/>
          </w:tcPr>
          <w:p w14:paraId="72BEEC13" w14:textId="77777777" w:rsidR="005C09E7" w:rsidRPr="005C7D76" w:rsidRDefault="005C09E7" w:rsidP="005C09E7">
            <w:pPr>
              <w:widowControl/>
              <w:suppressAutoHyphens w:val="0"/>
              <w:overflowPunct/>
              <w:autoSpaceDE/>
              <w:autoSpaceDN/>
              <w:spacing w:line="240" w:lineRule="auto"/>
              <w:jc w:val="left"/>
              <w:textAlignment w:val="auto"/>
              <w:rPr>
                <w:sz w:val="20"/>
              </w:rPr>
            </w:pPr>
          </w:p>
        </w:tc>
      </w:tr>
      <w:tr w:rsidR="00162E69" w:rsidRPr="005C7D76" w14:paraId="3066BC8C" w14:textId="77777777" w:rsidTr="004D17AE">
        <w:trPr>
          <w:cantSplit/>
          <w:trHeight w:val="255"/>
        </w:trPr>
        <w:tc>
          <w:tcPr>
            <w:tcW w:w="1657" w:type="dxa"/>
            <w:tcBorders>
              <w:top w:val="nil"/>
              <w:left w:val="single" w:sz="8" w:space="0" w:color="auto"/>
              <w:bottom w:val="single" w:sz="4" w:space="0" w:color="auto"/>
              <w:right w:val="nil"/>
            </w:tcBorders>
            <w:shd w:val="clear" w:color="auto" w:fill="auto"/>
            <w:noWrap/>
            <w:vAlign w:val="bottom"/>
            <w:hideMark/>
          </w:tcPr>
          <w:p w14:paraId="6A0F3FD9" w14:textId="77777777" w:rsidR="005C09E7" w:rsidRPr="005C7D76" w:rsidRDefault="005C09E7" w:rsidP="005C09E7">
            <w:pPr>
              <w:widowControl/>
              <w:suppressAutoHyphens w:val="0"/>
              <w:overflowPunct/>
              <w:autoSpaceDE/>
              <w:autoSpaceDN/>
              <w:spacing w:line="240" w:lineRule="auto"/>
              <w:jc w:val="left"/>
              <w:textAlignment w:val="auto"/>
              <w:rPr>
                <w:sz w:val="20"/>
              </w:rPr>
            </w:pPr>
            <w:r w:rsidRPr="005C7D76">
              <w:rPr>
                <w:sz w:val="20"/>
              </w:rPr>
              <w:t>Immobilizzazioni finanziarie</w:t>
            </w:r>
          </w:p>
        </w:tc>
        <w:tc>
          <w:tcPr>
            <w:tcW w:w="1167" w:type="dxa"/>
            <w:tcBorders>
              <w:top w:val="nil"/>
              <w:left w:val="single" w:sz="4" w:space="0" w:color="auto"/>
              <w:bottom w:val="single" w:sz="4" w:space="0" w:color="auto"/>
              <w:right w:val="single" w:sz="4" w:space="0" w:color="auto"/>
            </w:tcBorders>
            <w:shd w:val="clear" w:color="auto" w:fill="auto"/>
            <w:noWrap/>
            <w:vAlign w:val="bottom"/>
            <w:hideMark/>
          </w:tcPr>
          <w:p w14:paraId="66114B09" w14:textId="77777777" w:rsidR="005C09E7" w:rsidRPr="005C7D76" w:rsidRDefault="005C09E7" w:rsidP="005C09E7">
            <w:pPr>
              <w:widowControl/>
              <w:suppressAutoHyphens w:val="0"/>
              <w:overflowPunct/>
              <w:autoSpaceDE/>
              <w:autoSpaceDN/>
              <w:spacing w:line="240" w:lineRule="auto"/>
              <w:jc w:val="right"/>
              <w:textAlignment w:val="auto"/>
              <w:rPr>
                <w:sz w:val="20"/>
              </w:rPr>
            </w:pPr>
            <w:r w:rsidRPr="005C7D76">
              <w:rPr>
                <w:sz w:val="20"/>
              </w:rPr>
              <w:t>1.042.284</w:t>
            </w:r>
          </w:p>
        </w:tc>
        <w:tc>
          <w:tcPr>
            <w:tcW w:w="1167" w:type="dxa"/>
            <w:tcBorders>
              <w:top w:val="nil"/>
              <w:left w:val="single" w:sz="4" w:space="0" w:color="auto"/>
              <w:bottom w:val="single" w:sz="4" w:space="0" w:color="auto"/>
              <w:right w:val="single" w:sz="4" w:space="0" w:color="auto"/>
            </w:tcBorders>
            <w:shd w:val="clear" w:color="auto" w:fill="auto"/>
            <w:noWrap/>
            <w:vAlign w:val="bottom"/>
            <w:hideMark/>
          </w:tcPr>
          <w:p w14:paraId="407884FE" w14:textId="77777777" w:rsidR="005C09E7" w:rsidRPr="005C7D76" w:rsidRDefault="005C09E7" w:rsidP="005C09E7">
            <w:pPr>
              <w:widowControl/>
              <w:suppressAutoHyphens w:val="0"/>
              <w:overflowPunct/>
              <w:autoSpaceDE/>
              <w:autoSpaceDN/>
              <w:spacing w:line="240" w:lineRule="auto"/>
              <w:jc w:val="right"/>
              <w:textAlignment w:val="auto"/>
              <w:rPr>
                <w:sz w:val="20"/>
              </w:rPr>
            </w:pPr>
            <w:r w:rsidRPr="005C7D76">
              <w:rPr>
                <w:sz w:val="20"/>
              </w:rPr>
              <w:t>1.036.203</w:t>
            </w:r>
          </w:p>
        </w:tc>
        <w:tc>
          <w:tcPr>
            <w:tcW w:w="1167" w:type="dxa"/>
            <w:vMerge w:val="restart"/>
            <w:tcBorders>
              <w:top w:val="nil"/>
              <w:left w:val="single" w:sz="4" w:space="0" w:color="auto"/>
              <w:bottom w:val="single" w:sz="4" w:space="0" w:color="000000"/>
              <w:right w:val="nil"/>
            </w:tcBorders>
            <w:shd w:val="clear" w:color="auto" w:fill="auto"/>
            <w:noWrap/>
            <w:vAlign w:val="center"/>
            <w:hideMark/>
          </w:tcPr>
          <w:p w14:paraId="6A92CD40" w14:textId="77777777" w:rsidR="005C09E7" w:rsidRPr="005C7D76" w:rsidRDefault="005C09E7" w:rsidP="005C09E7">
            <w:pPr>
              <w:widowControl/>
              <w:suppressAutoHyphens w:val="0"/>
              <w:overflowPunct/>
              <w:autoSpaceDE/>
              <w:autoSpaceDN/>
              <w:spacing w:line="240" w:lineRule="auto"/>
              <w:jc w:val="left"/>
              <w:textAlignment w:val="auto"/>
              <w:rPr>
                <w:sz w:val="20"/>
              </w:rPr>
            </w:pPr>
            <w:r w:rsidRPr="005C7D76">
              <w:rPr>
                <w:sz w:val="20"/>
              </w:rPr>
              <w:t>Passività Consolidate</w:t>
            </w:r>
          </w:p>
        </w:tc>
        <w:tc>
          <w:tcPr>
            <w:tcW w:w="116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CD90D4F" w14:textId="77777777" w:rsidR="005C09E7" w:rsidRPr="005C7D76" w:rsidRDefault="005C09E7" w:rsidP="005C09E7">
            <w:pPr>
              <w:widowControl/>
              <w:suppressAutoHyphens w:val="0"/>
              <w:overflowPunct/>
              <w:autoSpaceDE/>
              <w:autoSpaceDN/>
              <w:spacing w:line="240" w:lineRule="auto"/>
              <w:jc w:val="right"/>
              <w:textAlignment w:val="auto"/>
              <w:rPr>
                <w:sz w:val="20"/>
              </w:rPr>
            </w:pPr>
            <w:r w:rsidRPr="005C7D76">
              <w:rPr>
                <w:sz w:val="20"/>
              </w:rPr>
              <w:t>817.345</w:t>
            </w:r>
          </w:p>
        </w:tc>
        <w:tc>
          <w:tcPr>
            <w:tcW w:w="116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DE0493E" w14:textId="77777777" w:rsidR="005C09E7" w:rsidRPr="005C7D76" w:rsidRDefault="005C09E7" w:rsidP="005C09E7">
            <w:pPr>
              <w:widowControl/>
              <w:suppressAutoHyphens w:val="0"/>
              <w:overflowPunct/>
              <w:autoSpaceDE/>
              <w:autoSpaceDN/>
              <w:spacing w:line="240" w:lineRule="auto"/>
              <w:jc w:val="right"/>
              <w:textAlignment w:val="auto"/>
              <w:rPr>
                <w:sz w:val="20"/>
              </w:rPr>
            </w:pPr>
            <w:r w:rsidRPr="005C7D76">
              <w:rPr>
                <w:sz w:val="20"/>
              </w:rPr>
              <w:t>912.671</w:t>
            </w:r>
          </w:p>
        </w:tc>
      </w:tr>
      <w:tr w:rsidR="00162E69" w:rsidRPr="005C7D76" w14:paraId="2A6D88B8" w14:textId="77777777" w:rsidTr="004D17AE">
        <w:trPr>
          <w:cantSplit/>
          <w:trHeight w:val="255"/>
        </w:trPr>
        <w:tc>
          <w:tcPr>
            <w:tcW w:w="1657" w:type="dxa"/>
            <w:tcBorders>
              <w:top w:val="nil"/>
              <w:left w:val="single" w:sz="8" w:space="0" w:color="auto"/>
              <w:bottom w:val="single" w:sz="4" w:space="0" w:color="auto"/>
              <w:right w:val="nil"/>
            </w:tcBorders>
            <w:shd w:val="clear" w:color="auto" w:fill="auto"/>
            <w:noWrap/>
            <w:vAlign w:val="bottom"/>
            <w:hideMark/>
          </w:tcPr>
          <w:p w14:paraId="705C0559" w14:textId="77777777" w:rsidR="005C09E7" w:rsidRPr="005C7D76" w:rsidRDefault="005C09E7" w:rsidP="005C09E7">
            <w:pPr>
              <w:widowControl/>
              <w:suppressAutoHyphens w:val="0"/>
              <w:overflowPunct/>
              <w:autoSpaceDE/>
              <w:autoSpaceDN/>
              <w:spacing w:line="240" w:lineRule="auto"/>
              <w:jc w:val="left"/>
              <w:textAlignment w:val="auto"/>
              <w:rPr>
                <w:sz w:val="20"/>
              </w:rPr>
            </w:pPr>
            <w:r w:rsidRPr="005C7D76">
              <w:rPr>
                <w:sz w:val="20"/>
              </w:rPr>
              <w:lastRenderedPageBreak/>
              <w:t>Rimanenze</w:t>
            </w:r>
          </w:p>
        </w:tc>
        <w:tc>
          <w:tcPr>
            <w:tcW w:w="1167" w:type="dxa"/>
            <w:tcBorders>
              <w:top w:val="nil"/>
              <w:left w:val="single" w:sz="4" w:space="0" w:color="auto"/>
              <w:bottom w:val="single" w:sz="4" w:space="0" w:color="auto"/>
              <w:right w:val="single" w:sz="4" w:space="0" w:color="auto"/>
            </w:tcBorders>
            <w:shd w:val="clear" w:color="auto" w:fill="auto"/>
            <w:noWrap/>
            <w:vAlign w:val="bottom"/>
            <w:hideMark/>
          </w:tcPr>
          <w:p w14:paraId="154613E8" w14:textId="77777777" w:rsidR="005C09E7" w:rsidRPr="005C7D76" w:rsidRDefault="005C09E7" w:rsidP="005C09E7">
            <w:pPr>
              <w:widowControl/>
              <w:suppressAutoHyphens w:val="0"/>
              <w:overflowPunct/>
              <w:autoSpaceDE/>
              <w:autoSpaceDN/>
              <w:spacing w:line="240" w:lineRule="auto"/>
              <w:jc w:val="right"/>
              <w:textAlignment w:val="auto"/>
              <w:rPr>
                <w:sz w:val="20"/>
              </w:rPr>
            </w:pPr>
            <w:r w:rsidRPr="005C7D76">
              <w:rPr>
                <w:sz w:val="20"/>
              </w:rPr>
              <w:t>167.850.051</w:t>
            </w:r>
          </w:p>
        </w:tc>
        <w:tc>
          <w:tcPr>
            <w:tcW w:w="1167" w:type="dxa"/>
            <w:tcBorders>
              <w:top w:val="nil"/>
              <w:left w:val="single" w:sz="4" w:space="0" w:color="auto"/>
              <w:bottom w:val="single" w:sz="4" w:space="0" w:color="auto"/>
              <w:right w:val="single" w:sz="4" w:space="0" w:color="auto"/>
            </w:tcBorders>
            <w:shd w:val="clear" w:color="auto" w:fill="auto"/>
            <w:noWrap/>
            <w:vAlign w:val="bottom"/>
            <w:hideMark/>
          </w:tcPr>
          <w:p w14:paraId="3C766666" w14:textId="77777777" w:rsidR="005C09E7" w:rsidRPr="005C7D76" w:rsidRDefault="005C09E7" w:rsidP="005C09E7">
            <w:pPr>
              <w:widowControl/>
              <w:suppressAutoHyphens w:val="0"/>
              <w:overflowPunct/>
              <w:autoSpaceDE/>
              <w:autoSpaceDN/>
              <w:spacing w:line="240" w:lineRule="auto"/>
              <w:jc w:val="right"/>
              <w:textAlignment w:val="auto"/>
              <w:rPr>
                <w:sz w:val="20"/>
              </w:rPr>
            </w:pPr>
            <w:r w:rsidRPr="005C7D76">
              <w:rPr>
                <w:sz w:val="20"/>
              </w:rPr>
              <w:t>161.446.734</w:t>
            </w:r>
          </w:p>
        </w:tc>
        <w:tc>
          <w:tcPr>
            <w:tcW w:w="1167" w:type="dxa"/>
            <w:vMerge/>
            <w:tcBorders>
              <w:top w:val="nil"/>
              <w:left w:val="single" w:sz="4" w:space="0" w:color="auto"/>
              <w:bottom w:val="single" w:sz="4" w:space="0" w:color="000000"/>
              <w:right w:val="nil"/>
            </w:tcBorders>
            <w:vAlign w:val="center"/>
            <w:hideMark/>
          </w:tcPr>
          <w:p w14:paraId="25433CF6" w14:textId="77777777" w:rsidR="005C09E7" w:rsidRPr="005C7D76" w:rsidRDefault="005C09E7" w:rsidP="005C09E7">
            <w:pPr>
              <w:widowControl/>
              <w:suppressAutoHyphens w:val="0"/>
              <w:overflowPunct/>
              <w:autoSpaceDE/>
              <w:autoSpaceDN/>
              <w:spacing w:line="240" w:lineRule="auto"/>
              <w:jc w:val="left"/>
              <w:textAlignment w:val="auto"/>
              <w:rPr>
                <w:sz w:val="20"/>
              </w:rPr>
            </w:pPr>
          </w:p>
        </w:tc>
        <w:tc>
          <w:tcPr>
            <w:tcW w:w="1167" w:type="dxa"/>
            <w:vMerge/>
            <w:tcBorders>
              <w:top w:val="nil"/>
              <w:left w:val="single" w:sz="4" w:space="0" w:color="auto"/>
              <w:bottom w:val="single" w:sz="4" w:space="0" w:color="000000"/>
              <w:right w:val="single" w:sz="4" w:space="0" w:color="auto"/>
            </w:tcBorders>
            <w:vAlign w:val="center"/>
            <w:hideMark/>
          </w:tcPr>
          <w:p w14:paraId="1F865E0B" w14:textId="77777777" w:rsidR="005C09E7" w:rsidRPr="005C7D76" w:rsidRDefault="005C09E7" w:rsidP="005C09E7">
            <w:pPr>
              <w:widowControl/>
              <w:suppressAutoHyphens w:val="0"/>
              <w:overflowPunct/>
              <w:autoSpaceDE/>
              <w:autoSpaceDN/>
              <w:spacing w:line="240" w:lineRule="auto"/>
              <w:jc w:val="left"/>
              <w:textAlignment w:val="auto"/>
              <w:rPr>
                <w:sz w:val="20"/>
              </w:rPr>
            </w:pPr>
          </w:p>
        </w:tc>
        <w:tc>
          <w:tcPr>
            <w:tcW w:w="1168" w:type="dxa"/>
            <w:vMerge/>
            <w:tcBorders>
              <w:top w:val="nil"/>
              <w:left w:val="single" w:sz="4" w:space="0" w:color="auto"/>
              <w:bottom w:val="single" w:sz="4" w:space="0" w:color="000000"/>
              <w:right w:val="single" w:sz="4" w:space="0" w:color="auto"/>
            </w:tcBorders>
            <w:vAlign w:val="center"/>
            <w:hideMark/>
          </w:tcPr>
          <w:p w14:paraId="00D29A13" w14:textId="77777777" w:rsidR="005C09E7" w:rsidRPr="005C7D76" w:rsidRDefault="005C09E7" w:rsidP="005C09E7">
            <w:pPr>
              <w:widowControl/>
              <w:suppressAutoHyphens w:val="0"/>
              <w:overflowPunct/>
              <w:autoSpaceDE/>
              <w:autoSpaceDN/>
              <w:spacing w:line="240" w:lineRule="auto"/>
              <w:jc w:val="left"/>
              <w:textAlignment w:val="auto"/>
              <w:rPr>
                <w:sz w:val="20"/>
              </w:rPr>
            </w:pPr>
          </w:p>
        </w:tc>
      </w:tr>
      <w:tr w:rsidR="00162E69" w:rsidRPr="005C7D76" w14:paraId="3B803B93" w14:textId="77777777" w:rsidTr="004D17AE">
        <w:trPr>
          <w:cantSplit/>
          <w:trHeight w:val="255"/>
        </w:trPr>
        <w:tc>
          <w:tcPr>
            <w:tcW w:w="1657" w:type="dxa"/>
            <w:tcBorders>
              <w:top w:val="nil"/>
              <w:left w:val="single" w:sz="8" w:space="0" w:color="auto"/>
              <w:bottom w:val="single" w:sz="4" w:space="0" w:color="auto"/>
              <w:right w:val="nil"/>
            </w:tcBorders>
            <w:shd w:val="clear" w:color="auto" w:fill="auto"/>
            <w:noWrap/>
            <w:vAlign w:val="bottom"/>
            <w:hideMark/>
          </w:tcPr>
          <w:p w14:paraId="4722CF10" w14:textId="77777777" w:rsidR="005C09E7" w:rsidRPr="005C7D76" w:rsidRDefault="005C09E7" w:rsidP="005C09E7">
            <w:pPr>
              <w:widowControl/>
              <w:suppressAutoHyphens w:val="0"/>
              <w:overflowPunct/>
              <w:autoSpaceDE/>
              <w:autoSpaceDN/>
              <w:spacing w:line="240" w:lineRule="auto"/>
              <w:jc w:val="left"/>
              <w:textAlignment w:val="auto"/>
              <w:rPr>
                <w:sz w:val="20"/>
              </w:rPr>
            </w:pPr>
            <w:r w:rsidRPr="005C7D76">
              <w:rPr>
                <w:sz w:val="20"/>
              </w:rPr>
              <w:t>Liquidità differite (Ld)</w:t>
            </w:r>
          </w:p>
        </w:tc>
        <w:tc>
          <w:tcPr>
            <w:tcW w:w="1167" w:type="dxa"/>
            <w:tcBorders>
              <w:top w:val="nil"/>
              <w:left w:val="single" w:sz="4" w:space="0" w:color="auto"/>
              <w:bottom w:val="single" w:sz="4" w:space="0" w:color="auto"/>
              <w:right w:val="single" w:sz="4" w:space="0" w:color="auto"/>
            </w:tcBorders>
            <w:shd w:val="clear" w:color="auto" w:fill="auto"/>
            <w:noWrap/>
            <w:vAlign w:val="bottom"/>
            <w:hideMark/>
          </w:tcPr>
          <w:p w14:paraId="1D6E8473" w14:textId="77777777" w:rsidR="005C09E7" w:rsidRPr="005C7D76" w:rsidRDefault="005C09E7" w:rsidP="005C09E7">
            <w:pPr>
              <w:widowControl/>
              <w:suppressAutoHyphens w:val="0"/>
              <w:overflowPunct/>
              <w:autoSpaceDE/>
              <w:autoSpaceDN/>
              <w:spacing w:line="240" w:lineRule="auto"/>
              <w:jc w:val="right"/>
              <w:textAlignment w:val="auto"/>
              <w:rPr>
                <w:sz w:val="20"/>
              </w:rPr>
            </w:pPr>
            <w:r w:rsidRPr="005C7D76">
              <w:rPr>
                <w:sz w:val="20"/>
              </w:rPr>
              <w:t>33.564.133</w:t>
            </w:r>
          </w:p>
        </w:tc>
        <w:tc>
          <w:tcPr>
            <w:tcW w:w="1167" w:type="dxa"/>
            <w:tcBorders>
              <w:top w:val="nil"/>
              <w:left w:val="single" w:sz="4" w:space="0" w:color="auto"/>
              <w:bottom w:val="single" w:sz="4" w:space="0" w:color="auto"/>
              <w:right w:val="single" w:sz="4" w:space="0" w:color="auto"/>
            </w:tcBorders>
            <w:shd w:val="clear" w:color="auto" w:fill="auto"/>
            <w:noWrap/>
            <w:vAlign w:val="bottom"/>
            <w:hideMark/>
          </w:tcPr>
          <w:p w14:paraId="33DBF3AA" w14:textId="77777777" w:rsidR="005C09E7" w:rsidRPr="005C7D76" w:rsidRDefault="005C09E7" w:rsidP="005C09E7">
            <w:pPr>
              <w:widowControl/>
              <w:suppressAutoHyphens w:val="0"/>
              <w:overflowPunct/>
              <w:autoSpaceDE/>
              <w:autoSpaceDN/>
              <w:spacing w:line="240" w:lineRule="auto"/>
              <w:jc w:val="right"/>
              <w:textAlignment w:val="auto"/>
              <w:rPr>
                <w:sz w:val="20"/>
              </w:rPr>
            </w:pPr>
            <w:r w:rsidRPr="005C7D76">
              <w:rPr>
                <w:sz w:val="20"/>
              </w:rPr>
              <w:t>34.871.538</w:t>
            </w:r>
          </w:p>
        </w:tc>
        <w:tc>
          <w:tcPr>
            <w:tcW w:w="1167" w:type="dxa"/>
            <w:vMerge w:val="restart"/>
            <w:tcBorders>
              <w:top w:val="nil"/>
              <w:left w:val="single" w:sz="4" w:space="0" w:color="auto"/>
              <w:bottom w:val="single" w:sz="4" w:space="0" w:color="000000"/>
              <w:right w:val="nil"/>
            </w:tcBorders>
            <w:shd w:val="clear" w:color="auto" w:fill="auto"/>
            <w:noWrap/>
            <w:vAlign w:val="center"/>
            <w:hideMark/>
          </w:tcPr>
          <w:p w14:paraId="181F89F7" w14:textId="77777777" w:rsidR="005C09E7" w:rsidRPr="005C7D76" w:rsidRDefault="005C09E7" w:rsidP="005C09E7">
            <w:pPr>
              <w:widowControl/>
              <w:suppressAutoHyphens w:val="0"/>
              <w:overflowPunct/>
              <w:autoSpaceDE/>
              <w:autoSpaceDN/>
              <w:spacing w:line="240" w:lineRule="auto"/>
              <w:jc w:val="left"/>
              <w:textAlignment w:val="auto"/>
              <w:rPr>
                <w:sz w:val="20"/>
              </w:rPr>
            </w:pPr>
            <w:r w:rsidRPr="005C7D76">
              <w:rPr>
                <w:sz w:val="20"/>
              </w:rPr>
              <w:t>Passività correnti (Pc)</w:t>
            </w:r>
          </w:p>
        </w:tc>
        <w:tc>
          <w:tcPr>
            <w:tcW w:w="116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CFC8DF8" w14:textId="77777777" w:rsidR="005C09E7" w:rsidRPr="005C7D76" w:rsidRDefault="005C09E7" w:rsidP="005C09E7">
            <w:pPr>
              <w:widowControl/>
              <w:suppressAutoHyphens w:val="0"/>
              <w:overflowPunct/>
              <w:autoSpaceDE/>
              <w:autoSpaceDN/>
              <w:spacing w:line="240" w:lineRule="auto"/>
              <w:jc w:val="right"/>
              <w:textAlignment w:val="auto"/>
              <w:rPr>
                <w:sz w:val="20"/>
              </w:rPr>
            </w:pPr>
            <w:r w:rsidRPr="005C7D76">
              <w:rPr>
                <w:sz w:val="20"/>
              </w:rPr>
              <w:t>181.264.842</w:t>
            </w:r>
          </w:p>
        </w:tc>
        <w:tc>
          <w:tcPr>
            <w:tcW w:w="116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FDF1046" w14:textId="77777777" w:rsidR="005C09E7" w:rsidRPr="005C7D76" w:rsidRDefault="005C09E7" w:rsidP="005C09E7">
            <w:pPr>
              <w:widowControl/>
              <w:suppressAutoHyphens w:val="0"/>
              <w:overflowPunct/>
              <w:autoSpaceDE/>
              <w:autoSpaceDN/>
              <w:spacing w:line="240" w:lineRule="auto"/>
              <w:jc w:val="right"/>
              <w:textAlignment w:val="auto"/>
              <w:rPr>
                <w:sz w:val="20"/>
              </w:rPr>
            </w:pPr>
            <w:r w:rsidRPr="005C7D76">
              <w:rPr>
                <w:sz w:val="20"/>
              </w:rPr>
              <w:t>180.237.508</w:t>
            </w:r>
          </w:p>
        </w:tc>
      </w:tr>
      <w:tr w:rsidR="00162E69" w:rsidRPr="005C7D76" w14:paraId="6CA9BF39" w14:textId="77777777" w:rsidTr="004D17AE">
        <w:trPr>
          <w:cantSplit/>
          <w:trHeight w:val="255"/>
        </w:trPr>
        <w:tc>
          <w:tcPr>
            <w:tcW w:w="1657" w:type="dxa"/>
            <w:tcBorders>
              <w:top w:val="nil"/>
              <w:left w:val="single" w:sz="8" w:space="0" w:color="auto"/>
              <w:bottom w:val="single" w:sz="4" w:space="0" w:color="auto"/>
              <w:right w:val="nil"/>
            </w:tcBorders>
            <w:shd w:val="clear" w:color="auto" w:fill="auto"/>
            <w:noWrap/>
            <w:vAlign w:val="bottom"/>
            <w:hideMark/>
          </w:tcPr>
          <w:p w14:paraId="417A50B1" w14:textId="77777777" w:rsidR="005C09E7" w:rsidRPr="005C7D76" w:rsidRDefault="005C09E7" w:rsidP="005C09E7">
            <w:pPr>
              <w:widowControl/>
              <w:suppressAutoHyphens w:val="0"/>
              <w:overflowPunct/>
              <w:autoSpaceDE/>
              <w:autoSpaceDN/>
              <w:spacing w:line="240" w:lineRule="auto"/>
              <w:jc w:val="left"/>
              <w:textAlignment w:val="auto"/>
              <w:rPr>
                <w:sz w:val="20"/>
              </w:rPr>
            </w:pPr>
            <w:r w:rsidRPr="005C7D76">
              <w:rPr>
                <w:sz w:val="20"/>
              </w:rPr>
              <w:t>Liquidità immediate (Li)</w:t>
            </w:r>
          </w:p>
        </w:tc>
        <w:tc>
          <w:tcPr>
            <w:tcW w:w="1167" w:type="dxa"/>
            <w:tcBorders>
              <w:top w:val="nil"/>
              <w:left w:val="single" w:sz="4" w:space="0" w:color="auto"/>
              <w:bottom w:val="single" w:sz="4" w:space="0" w:color="auto"/>
              <w:right w:val="single" w:sz="4" w:space="0" w:color="auto"/>
            </w:tcBorders>
            <w:shd w:val="clear" w:color="auto" w:fill="auto"/>
            <w:noWrap/>
            <w:vAlign w:val="bottom"/>
            <w:hideMark/>
          </w:tcPr>
          <w:p w14:paraId="0C766B6C" w14:textId="77777777" w:rsidR="005C09E7" w:rsidRPr="005C7D76" w:rsidRDefault="005C09E7" w:rsidP="005C09E7">
            <w:pPr>
              <w:widowControl/>
              <w:suppressAutoHyphens w:val="0"/>
              <w:overflowPunct/>
              <w:autoSpaceDE/>
              <w:autoSpaceDN/>
              <w:spacing w:line="240" w:lineRule="auto"/>
              <w:jc w:val="right"/>
              <w:textAlignment w:val="auto"/>
              <w:rPr>
                <w:sz w:val="20"/>
              </w:rPr>
            </w:pPr>
            <w:r w:rsidRPr="005C7D76">
              <w:rPr>
                <w:sz w:val="20"/>
              </w:rPr>
              <w:t>1.127.505</w:t>
            </w:r>
          </w:p>
        </w:tc>
        <w:tc>
          <w:tcPr>
            <w:tcW w:w="1167" w:type="dxa"/>
            <w:tcBorders>
              <w:top w:val="nil"/>
              <w:left w:val="single" w:sz="4" w:space="0" w:color="auto"/>
              <w:bottom w:val="single" w:sz="4" w:space="0" w:color="auto"/>
              <w:right w:val="single" w:sz="4" w:space="0" w:color="auto"/>
            </w:tcBorders>
            <w:shd w:val="clear" w:color="auto" w:fill="auto"/>
            <w:noWrap/>
            <w:vAlign w:val="bottom"/>
            <w:hideMark/>
          </w:tcPr>
          <w:p w14:paraId="3603CEE6" w14:textId="77777777" w:rsidR="005C09E7" w:rsidRPr="005C7D76" w:rsidRDefault="005C09E7" w:rsidP="005C09E7">
            <w:pPr>
              <w:widowControl/>
              <w:suppressAutoHyphens w:val="0"/>
              <w:overflowPunct/>
              <w:autoSpaceDE/>
              <w:autoSpaceDN/>
              <w:spacing w:line="240" w:lineRule="auto"/>
              <w:jc w:val="right"/>
              <w:textAlignment w:val="auto"/>
              <w:rPr>
                <w:sz w:val="20"/>
              </w:rPr>
            </w:pPr>
            <w:r w:rsidRPr="005C7D76">
              <w:rPr>
                <w:sz w:val="20"/>
              </w:rPr>
              <w:t>2.847.040</w:t>
            </w:r>
          </w:p>
        </w:tc>
        <w:tc>
          <w:tcPr>
            <w:tcW w:w="1167" w:type="dxa"/>
            <w:vMerge/>
            <w:tcBorders>
              <w:top w:val="nil"/>
              <w:left w:val="single" w:sz="4" w:space="0" w:color="auto"/>
              <w:bottom w:val="single" w:sz="4" w:space="0" w:color="000000"/>
              <w:right w:val="nil"/>
            </w:tcBorders>
            <w:vAlign w:val="center"/>
            <w:hideMark/>
          </w:tcPr>
          <w:p w14:paraId="4B251E07" w14:textId="77777777" w:rsidR="005C09E7" w:rsidRPr="005C7D76" w:rsidRDefault="005C09E7" w:rsidP="005C09E7">
            <w:pPr>
              <w:widowControl/>
              <w:suppressAutoHyphens w:val="0"/>
              <w:overflowPunct/>
              <w:autoSpaceDE/>
              <w:autoSpaceDN/>
              <w:spacing w:line="240" w:lineRule="auto"/>
              <w:jc w:val="left"/>
              <w:textAlignment w:val="auto"/>
              <w:rPr>
                <w:sz w:val="20"/>
              </w:rPr>
            </w:pPr>
          </w:p>
        </w:tc>
        <w:tc>
          <w:tcPr>
            <w:tcW w:w="1167" w:type="dxa"/>
            <w:vMerge/>
            <w:tcBorders>
              <w:top w:val="nil"/>
              <w:left w:val="single" w:sz="4" w:space="0" w:color="auto"/>
              <w:bottom w:val="single" w:sz="4" w:space="0" w:color="000000"/>
              <w:right w:val="single" w:sz="4" w:space="0" w:color="auto"/>
            </w:tcBorders>
            <w:vAlign w:val="center"/>
            <w:hideMark/>
          </w:tcPr>
          <w:p w14:paraId="69FDCF87" w14:textId="77777777" w:rsidR="005C09E7" w:rsidRPr="005C7D76" w:rsidRDefault="005C09E7" w:rsidP="005C09E7">
            <w:pPr>
              <w:widowControl/>
              <w:suppressAutoHyphens w:val="0"/>
              <w:overflowPunct/>
              <w:autoSpaceDE/>
              <w:autoSpaceDN/>
              <w:spacing w:line="240" w:lineRule="auto"/>
              <w:jc w:val="left"/>
              <w:textAlignment w:val="auto"/>
              <w:rPr>
                <w:sz w:val="20"/>
              </w:rPr>
            </w:pPr>
          </w:p>
        </w:tc>
        <w:tc>
          <w:tcPr>
            <w:tcW w:w="1168" w:type="dxa"/>
            <w:vMerge/>
            <w:tcBorders>
              <w:top w:val="nil"/>
              <w:left w:val="single" w:sz="4" w:space="0" w:color="auto"/>
              <w:bottom w:val="single" w:sz="4" w:space="0" w:color="000000"/>
              <w:right w:val="single" w:sz="4" w:space="0" w:color="auto"/>
            </w:tcBorders>
            <w:vAlign w:val="center"/>
            <w:hideMark/>
          </w:tcPr>
          <w:p w14:paraId="490F57D7" w14:textId="77777777" w:rsidR="005C09E7" w:rsidRPr="005C7D76" w:rsidRDefault="005C09E7" w:rsidP="005C09E7">
            <w:pPr>
              <w:widowControl/>
              <w:suppressAutoHyphens w:val="0"/>
              <w:overflowPunct/>
              <w:autoSpaceDE/>
              <w:autoSpaceDN/>
              <w:spacing w:line="240" w:lineRule="auto"/>
              <w:jc w:val="left"/>
              <w:textAlignment w:val="auto"/>
              <w:rPr>
                <w:sz w:val="20"/>
              </w:rPr>
            </w:pPr>
          </w:p>
        </w:tc>
      </w:tr>
      <w:tr w:rsidR="00162E69" w:rsidRPr="005C7D76" w14:paraId="76F7624E" w14:textId="77777777" w:rsidTr="004D17AE">
        <w:trPr>
          <w:cantSplit/>
          <w:trHeight w:val="270"/>
        </w:trPr>
        <w:tc>
          <w:tcPr>
            <w:tcW w:w="1657" w:type="dxa"/>
            <w:tcBorders>
              <w:top w:val="nil"/>
              <w:left w:val="single" w:sz="8" w:space="0" w:color="auto"/>
              <w:bottom w:val="single" w:sz="8" w:space="0" w:color="auto"/>
              <w:right w:val="nil"/>
            </w:tcBorders>
            <w:shd w:val="clear" w:color="auto" w:fill="auto"/>
            <w:noWrap/>
            <w:vAlign w:val="bottom"/>
            <w:hideMark/>
          </w:tcPr>
          <w:p w14:paraId="4719F208" w14:textId="77777777" w:rsidR="005C09E7" w:rsidRPr="005C7D76" w:rsidRDefault="005C09E7" w:rsidP="005C09E7">
            <w:pPr>
              <w:widowControl/>
              <w:suppressAutoHyphens w:val="0"/>
              <w:overflowPunct/>
              <w:autoSpaceDE/>
              <w:autoSpaceDN/>
              <w:spacing w:line="240" w:lineRule="auto"/>
              <w:jc w:val="left"/>
              <w:textAlignment w:val="auto"/>
              <w:rPr>
                <w:b/>
                <w:bCs/>
                <w:sz w:val="20"/>
              </w:rPr>
            </w:pPr>
            <w:r w:rsidRPr="005C7D76">
              <w:rPr>
                <w:b/>
                <w:bCs/>
                <w:sz w:val="20"/>
              </w:rPr>
              <w:t>Capitale investito (K)</w:t>
            </w:r>
          </w:p>
        </w:tc>
        <w:tc>
          <w:tcPr>
            <w:tcW w:w="1167" w:type="dxa"/>
            <w:tcBorders>
              <w:top w:val="nil"/>
              <w:left w:val="single" w:sz="4" w:space="0" w:color="auto"/>
              <w:bottom w:val="single" w:sz="8" w:space="0" w:color="auto"/>
              <w:right w:val="single" w:sz="4" w:space="0" w:color="auto"/>
            </w:tcBorders>
            <w:shd w:val="clear" w:color="auto" w:fill="auto"/>
            <w:noWrap/>
            <w:vAlign w:val="bottom"/>
            <w:hideMark/>
          </w:tcPr>
          <w:p w14:paraId="4966EE5A" w14:textId="77777777" w:rsidR="005C09E7" w:rsidRPr="005C7D76" w:rsidRDefault="005C09E7" w:rsidP="005C09E7">
            <w:pPr>
              <w:widowControl/>
              <w:suppressAutoHyphens w:val="0"/>
              <w:overflowPunct/>
              <w:autoSpaceDE/>
              <w:autoSpaceDN/>
              <w:spacing w:line="240" w:lineRule="auto"/>
              <w:jc w:val="right"/>
              <w:textAlignment w:val="auto"/>
              <w:rPr>
                <w:b/>
                <w:bCs/>
                <w:sz w:val="20"/>
              </w:rPr>
            </w:pPr>
            <w:r w:rsidRPr="005C7D76">
              <w:rPr>
                <w:b/>
                <w:bCs/>
                <w:sz w:val="20"/>
              </w:rPr>
              <w:t>205.790.509</w:t>
            </w:r>
          </w:p>
        </w:tc>
        <w:tc>
          <w:tcPr>
            <w:tcW w:w="1167" w:type="dxa"/>
            <w:tcBorders>
              <w:top w:val="nil"/>
              <w:left w:val="single" w:sz="4" w:space="0" w:color="auto"/>
              <w:bottom w:val="single" w:sz="8" w:space="0" w:color="auto"/>
              <w:right w:val="single" w:sz="4" w:space="0" w:color="auto"/>
            </w:tcBorders>
            <w:shd w:val="clear" w:color="auto" w:fill="auto"/>
            <w:noWrap/>
            <w:vAlign w:val="bottom"/>
            <w:hideMark/>
          </w:tcPr>
          <w:p w14:paraId="0CD2DD8C" w14:textId="77777777" w:rsidR="005C09E7" w:rsidRPr="005C7D76" w:rsidRDefault="005C09E7" w:rsidP="005C09E7">
            <w:pPr>
              <w:widowControl/>
              <w:suppressAutoHyphens w:val="0"/>
              <w:overflowPunct/>
              <w:autoSpaceDE/>
              <w:autoSpaceDN/>
              <w:spacing w:line="240" w:lineRule="auto"/>
              <w:jc w:val="right"/>
              <w:textAlignment w:val="auto"/>
              <w:rPr>
                <w:b/>
                <w:bCs/>
                <w:sz w:val="20"/>
              </w:rPr>
            </w:pPr>
            <w:r w:rsidRPr="005C7D76">
              <w:rPr>
                <w:b/>
                <w:bCs/>
                <w:sz w:val="20"/>
              </w:rPr>
              <w:t>202.944.771</w:t>
            </w:r>
          </w:p>
        </w:tc>
        <w:tc>
          <w:tcPr>
            <w:tcW w:w="1167" w:type="dxa"/>
            <w:tcBorders>
              <w:top w:val="nil"/>
              <w:left w:val="single" w:sz="4" w:space="0" w:color="auto"/>
              <w:bottom w:val="single" w:sz="8" w:space="0" w:color="auto"/>
              <w:right w:val="nil"/>
            </w:tcBorders>
            <w:shd w:val="clear" w:color="auto" w:fill="auto"/>
            <w:noWrap/>
            <w:vAlign w:val="bottom"/>
            <w:hideMark/>
          </w:tcPr>
          <w:p w14:paraId="1089F816" w14:textId="77777777" w:rsidR="005C09E7" w:rsidRPr="005C7D76" w:rsidRDefault="005C09E7" w:rsidP="005C09E7">
            <w:pPr>
              <w:widowControl/>
              <w:suppressAutoHyphens w:val="0"/>
              <w:overflowPunct/>
              <w:autoSpaceDE/>
              <w:autoSpaceDN/>
              <w:spacing w:line="240" w:lineRule="auto"/>
              <w:jc w:val="left"/>
              <w:textAlignment w:val="auto"/>
              <w:rPr>
                <w:b/>
                <w:bCs/>
                <w:sz w:val="20"/>
              </w:rPr>
            </w:pPr>
            <w:r w:rsidRPr="005C7D76">
              <w:rPr>
                <w:b/>
                <w:bCs/>
                <w:sz w:val="20"/>
              </w:rPr>
              <w:t>Totale delle Fonti (K)</w:t>
            </w:r>
          </w:p>
        </w:tc>
        <w:tc>
          <w:tcPr>
            <w:tcW w:w="1167" w:type="dxa"/>
            <w:tcBorders>
              <w:top w:val="nil"/>
              <w:left w:val="single" w:sz="4" w:space="0" w:color="auto"/>
              <w:bottom w:val="single" w:sz="8" w:space="0" w:color="auto"/>
              <w:right w:val="single" w:sz="4" w:space="0" w:color="auto"/>
            </w:tcBorders>
            <w:shd w:val="clear" w:color="auto" w:fill="auto"/>
            <w:noWrap/>
            <w:vAlign w:val="bottom"/>
            <w:hideMark/>
          </w:tcPr>
          <w:p w14:paraId="17FF2EA0" w14:textId="77777777" w:rsidR="005C09E7" w:rsidRPr="005C7D76" w:rsidRDefault="005C09E7" w:rsidP="005C09E7">
            <w:pPr>
              <w:widowControl/>
              <w:suppressAutoHyphens w:val="0"/>
              <w:overflowPunct/>
              <w:autoSpaceDE/>
              <w:autoSpaceDN/>
              <w:spacing w:line="240" w:lineRule="auto"/>
              <w:jc w:val="right"/>
              <w:textAlignment w:val="auto"/>
              <w:rPr>
                <w:b/>
                <w:bCs/>
                <w:sz w:val="20"/>
              </w:rPr>
            </w:pPr>
            <w:r w:rsidRPr="005C7D76">
              <w:rPr>
                <w:b/>
                <w:bCs/>
                <w:sz w:val="20"/>
              </w:rPr>
              <w:t>205.790.509</w:t>
            </w:r>
          </w:p>
        </w:tc>
        <w:tc>
          <w:tcPr>
            <w:tcW w:w="1168" w:type="dxa"/>
            <w:tcBorders>
              <w:top w:val="nil"/>
              <w:left w:val="single" w:sz="4" w:space="0" w:color="auto"/>
              <w:bottom w:val="single" w:sz="8" w:space="0" w:color="auto"/>
              <w:right w:val="single" w:sz="4" w:space="0" w:color="auto"/>
            </w:tcBorders>
            <w:shd w:val="clear" w:color="auto" w:fill="auto"/>
            <w:noWrap/>
            <w:vAlign w:val="bottom"/>
            <w:hideMark/>
          </w:tcPr>
          <w:p w14:paraId="33AC604E" w14:textId="77777777" w:rsidR="005C09E7" w:rsidRPr="005C7D76" w:rsidRDefault="005C09E7" w:rsidP="005C09E7">
            <w:pPr>
              <w:widowControl/>
              <w:suppressAutoHyphens w:val="0"/>
              <w:overflowPunct/>
              <w:autoSpaceDE/>
              <w:autoSpaceDN/>
              <w:spacing w:line="240" w:lineRule="auto"/>
              <w:jc w:val="right"/>
              <w:textAlignment w:val="auto"/>
              <w:rPr>
                <w:b/>
                <w:bCs/>
                <w:sz w:val="20"/>
              </w:rPr>
            </w:pPr>
            <w:r w:rsidRPr="005C7D76">
              <w:rPr>
                <w:b/>
                <w:bCs/>
                <w:sz w:val="20"/>
              </w:rPr>
              <w:t>202.944.771</w:t>
            </w:r>
          </w:p>
        </w:tc>
      </w:tr>
    </w:tbl>
    <w:p w14:paraId="0B833F9A" w14:textId="77777777" w:rsidR="002E643C" w:rsidRPr="00162E69" w:rsidRDefault="007A19A9" w:rsidP="00162E69">
      <w:pPr>
        <w:pStyle w:val="Corpodeltesto2"/>
        <w:keepNext w:val="0"/>
        <w:pBdr>
          <w:top w:val="none" w:sz="0" w:space="0" w:color="auto"/>
          <w:left w:val="none" w:sz="0" w:space="0" w:color="auto"/>
          <w:bottom w:val="none" w:sz="0" w:space="0" w:color="auto"/>
          <w:right w:val="none" w:sz="0" w:space="0" w:color="auto"/>
        </w:pBdr>
        <w:spacing w:after="240"/>
        <w:textAlignment w:val="baseline"/>
        <w:rPr>
          <w:b w:val="0"/>
          <w:bCs w:val="0"/>
          <w:smallCaps w:val="0"/>
          <w:szCs w:val="24"/>
        </w:rPr>
      </w:pPr>
      <w:r w:rsidRPr="00162E69">
        <w:rPr>
          <w:b w:val="0"/>
          <w:bCs w:val="0"/>
          <w:smallCaps w:val="0"/>
          <w:szCs w:val="24"/>
        </w:rPr>
        <w:t xml:space="preserve">Si riportano, qui di seguito, alcuni indicatori di struttura e situazione finanziaria del </w:t>
      </w:r>
      <w:r w:rsidR="005C09E7" w:rsidRPr="00162E69">
        <w:rPr>
          <w:b w:val="0"/>
          <w:bCs w:val="0"/>
          <w:smallCaps w:val="0"/>
          <w:szCs w:val="24"/>
        </w:rPr>
        <w:t xml:space="preserve">2021 </w:t>
      </w:r>
      <w:r w:rsidRPr="00162E69">
        <w:rPr>
          <w:b w:val="0"/>
          <w:bCs w:val="0"/>
          <w:smallCaps w:val="0"/>
          <w:szCs w:val="24"/>
        </w:rPr>
        <w:t xml:space="preserve">confrontati con quelli del </w:t>
      </w:r>
      <w:r w:rsidR="005C09E7" w:rsidRPr="00162E69">
        <w:rPr>
          <w:b w:val="0"/>
          <w:bCs w:val="0"/>
          <w:smallCaps w:val="0"/>
          <w:szCs w:val="24"/>
        </w:rPr>
        <w:t>2020</w:t>
      </w:r>
      <w:r w:rsidRPr="00162E69">
        <w:rPr>
          <w:b w:val="0"/>
          <w:bCs w:val="0"/>
          <w:smallCaps w:val="0"/>
          <w:szCs w:val="24"/>
        </w:rPr>
        <w:t>.</w:t>
      </w:r>
    </w:p>
    <w:tbl>
      <w:tblPr>
        <w:tblW w:w="7435" w:type="dxa"/>
        <w:tblCellMar>
          <w:left w:w="10" w:type="dxa"/>
          <w:right w:w="10" w:type="dxa"/>
        </w:tblCellMar>
        <w:tblLook w:val="0000" w:firstRow="0" w:lastRow="0" w:firstColumn="0" w:lastColumn="0" w:noHBand="0" w:noVBand="0"/>
      </w:tblPr>
      <w:tblGrid>
        <w:gridCol w:w="4364"/>
        <w:gridCol w:w="162"/>
        <w:gridCol w:w="1290"/>
        <w:gridCol w:w="162"/>
        <w:gridCol w:w="1295"/>
        <w:gridCol w:w="162"/>
      </w:tblGrid>
      <w:tr w:rsidR="00162E69" w:rsidRPr="004D17AE" w14:paraId="1B532BB2" w14:textId="77777777" w:rsidTr="005C7D76">
        <w:trPr>
          <w:trHeight w:val="509"/>
        </w:trPr>
        <w:tc>
          <w:tcPr>
            <w:tcW w:w="4526" w:type="dxa"/>
            <w:gridSpan w:val="2"/>
            <w:tcBorders>
              <w:top w:val="single" w:sz="8" w:space="0" w:color="000000"/>
              <w:left w:val="single" w:sz="8" w:space="0" w:color="000000"/>
              <w:bottom w:val="single" w:sz="8" w:space="0" w:color="000000"/>
            </w:tcBorders>
            <w:shd w:val="clear" w:color="auto" w:fill="C0C0C0"/>
            <w:noWrap/>
            <w:tcMar>
              <w:top w:w="0" w:type="dxa"/>
              <w:left w:w="70" w:type="dxa"/>
              <w:bottom w:w="0" w:type="dxa"/>
              <w:right w:w="70" w:type="dxa"/>
            </w:tcMar>
            <w:vAlign w:val="center"/>
          </w:tcPr>
          <w:p w14:paraId="452BB4C3" w14:textId="77777777" w:rsidR="002E643C" w:rsidRPr="004D17AE" w:rsidRDefault="007A19A9">
            <w:pPr>
              <w:overflowPunct/>
              <w:autoSpaceDE/>
              <w:spacing w:line="240" w:lineRule="auto"/>
              <w:jc w:val="center"/>
              <w:textAlignment w:val="auto"/>
              <w:rPr>
                <w:b/>
                <w:bCs/>
                <w:sz w:val="20"/>
              </w:rPr>
            </w:pPr>
            <w:r w:rsidRPr="004D17AE">
              <w:rPr>
                <w:b/>
                <w:bCs/>
                <w:sz w:val="20"/>
              </w:rPr>
              <w:t>Indicatori</w:t>
            </w:r>
          </w:p>
        </w:tc>
        <w:tc>
          <w:tcPr>
            <w:tcW w:w="1452" w:type="dxa"/>
            <w:gridSpan w:val="2"/>
            <w:tcBorders>
              <w:top w:val="single" w:sz="8" w:space="0" w:color="000000"/>
              <w:left w:val="single" w:sz="8" w:space="0" w:color="000000"/>
              <w:bottom w:val="single" w:sz="8" w:space="0" w:color="000000"/>
            </w:tcBorders>
            <w:shd w:val="clear" w:color="auto" w:fill="C0C0C0"/>
            <w:noWrap/>
            <w:tcMar>
              <w:top w:w="0" w:type="dxa"/>
              <w:left w:w="70" w:type="dxa"/>
              <w:bottom w:w="0" w:type="dxa"/>
              <w:right w:w="70" w:type="dxa"/>
            </w:tcMar>
            <w:vAlign w:val="center"/>
          </w:tcPr>
          <w:p w14:paraId="38C2710F" w14:textId="77777777" w:rsidR="002E643C" w:rsidRPr="004D17AE" w:rsidRDefault="007A19A9" w:rsidP="00523BD9">
            <w:pPr>
              <w:overflowPunct/>
              <w:autoSpaceDE/>
              <w:spacing w:line="240" w:lineRule="auto"/>
              <w:jc w:val="center"/>
              <w:textAlignment w:val="auto"/>
              <w:rPr>
                <w:b/>
                <w:bCs/>
                <w:sz w:val="20"/>
              </w:rPr>
            </w:pPr>
            <w:r w:rsidRPr="004D17AE">
              <w:rPr>
                <w:b/>
                <w:bCs/>
                <w:sz w:val="20"/>
              </w:rPr>
              <w:t>31/12/</w:t>
            </w:r>
            <w:r w:rsidR="00146C47" w:rsidRPr="004D17AE">
              <w:rPr>
                <w:b/>
                <w:bCs/>
                <w:sz w:val="20"/>
              </w:rPr>
              <w:t>2021</w:t>
            </w:r>
          </w:p>
        </w:tc>
        <w:tc>
          <w:tcPr>
            <w:tcW w:w="1457" w:type="dxa"/>
            <w:gridSpan w:val="2"/>
            <w:tcBorders>
              <w:top w:val="single" w:sz="8" w:space="0" w:color="000000"/>
              <w:left w:val="single" w:sz="8" w:space="0" w:color="000000"/>
              <w:bottom w:val="single" w:sz="8" w:space="0" w:color="000000"/>
              <w:right w:val="single" w:sz="8" w:space="0" w:color="000000"/>
            </w:tcBorders>
            <w:shd w:val="clear" w:color="auto" w:fill="C0C0C0"/>
            <w:noWrap/>
            <w:tcMar>
              <w:top w:w="0" w:type="dxa"/>
              <w:left w:w="70" w:type="dxa"/>
              <w:bottom w:w="0" w:type="dxa"/>
              <w:right w:w="70" w:type="dxa"/>
            </w:tcMar>
            <w:vAlign w:val="center"/>
          </w:tcPr>
          <w:p w14:paraId="16782C96" w14:textId="77777777" w:rsidR="002E643C" w:rsidRPr="004D17AE" w:rsidRDefault="007A19A9" w:rsidP="00523BD9">
            <w:pPr>
              <w:overflowPunct/>
              <w:autoSpaceDE/>
              <w:spacing w:line="240" w:lineRule="auto"/>
              <w:jc w:val="center"/>
              <w:textAlignment w:val="auto"/>
              <w:rPr>
                <w:b/>
                <w:bCs/>
                <w:sz w:val="20"/>
              </w:rPr>
            </w:pPr>
            <w:r w:rsidRPr="004D17AE">
              <w:rPr>
                <w:b/>
                <w:bCs/>
                <w:sz w:val="20"/>
              </w:rPr>
              <w:t>31/12/</w:t>
            </w:r>
            <w:r w:rsidR="00146C47" w:rsidRPr="004D17AE">
              <w:rPr>
                <w:b/>
                <w:bCs/>
                <w:sz w:val="20"/>
              </w:rPr>
              <w:t>2020</w:t>
            </w:r>
          </w:p>
        </w:tc>
      </w:tr>
      <w:tr w:rsidR="00162E69" w:rsidRPr="004D17AE" w14:paraId="788FB3A6" w14:textId="77777777" w:rsidTr="00162E69">
        <w:trPr>
          <w:trHeight w:val="255"/>
        </w:trPr>
        <w:tc>
          <w:tcPr>
            <w:tcW w:w="4526" w:type="dxa"/>
            <w:gridSpan w:val="2"/>
            <w:tcBorders>
              <w:left w:val="single" w:sz="8" w:space="0" w:color="000000"/>
            </w:tcBorders>
            <w:shd w:val="clear" w:color="auto" w:fill="auto"/>
            <w:noWrap/>
            <w:tcMar>
              <w:top w:w="0" w:type="dxa"/>
              <w:left w:w="70" w:type="dxa"/>
              <w:bottom w:w="0" w:type="dxa"/>
              <w:right w:w="70" w:type="dxa"/>
            </w:tcMar>
            <w:vAlign w:val="bottom"/>
          </w:tcPr>
          <w:p w14:paraId="60BFFDCA" w14:textId="77777777" w:rsidR="00CB7A6E" w:rsidRPr="004D17AE" w:rsidRDefault="00CB7A6E" w:rsidP="00CB7A6E">
            <w:pPr>
              <w:overflowPunct/>
              <w:autoSpaceDE/>
              <w:spacing w:line="240" w:lineRule="auto"/>
              <w:jc w:val="left"/>
              <w:textAlignment w:val="auto"/>
              <w:rPr>
                <w:sz w:val="20"/>
              </w:rPr>
            </w:pPr>
            <w:r w:rsidRPr="004D17AE">
              <w:rPr>
                <w:sz w:val="20"/>
              </w:rPr>
              <w:t>Peso delle immobilizzazioni (I/K)</w:t>
            </w:r>
          </w:p>
        </w:tc>
        <w:tc>
          <w:tcPr>
            <w:tcW w:w="1452" w:type="dxa"/>
            <w:gridSpan w:val="2"/>
            <w:shd w:val="clear" w:color="auto" w:fill="auto"/>
            <w:noWrap/>
            <w:tcMar>
              <w:top w:w="0" w:type="dxa"/>
              <w:left w:w="70" w:type="dxa"/>
              <w:bottom w:w="0" w:type="dxa"/>
              <w:right w:w="70" w:type="dxa"/>
            </w:tcMar>
            <w:vAlign w:val="bottom"/>
          </w:tcPr>
          <w:p w14:paraId="40781C14" w14:textId="77777777" w:rsidR="00CB7A6E" w:rsidRPr="004D17AE" w:rsidRDefault="00CB7A6E" w:rsidP="00CB7A6E">
            <w:pPr>
              <w:overflowPunct/>
              <w:autoSpaceDE/>
              <w:spacing w:line="240" w:lineRule="auto"/>
              <w:jc w:val="center"/>
              <w:textAlignment w:val="auto"/>
              <w:rPr>
                <w:sz w:val="20"/>
              </w:rPr>
            </w:pPr>
            <w:r w:rsidRPr="004D17AE">
              <w:rPr>
                <w:sz w:val="20"/>
              </w:rPr>
              <w:t>1,</w:t>
            </w:r>
            <w:r w:rsidR="00146C47" w:rsidRPr="004D17AE">
              <w:rPr>
                <w:sz w:val="20"/>
              </w:rPr>
              <w:t>58</w:t>
            </w:r>
            <w:r w:rsidRPr="004D17AE">
              <w:rPr>
                <w:sz w:val="20"/>
              </w:rPr>
              <w:t>%</w:t>
            </w:r>
          </w:p>
        </w:tc>
        <w:tc>
          <w:tcPr>
            <w:tcW w:w="1457" w:type="dxa"/>
            <w:gridSpan w:val="2"/>
            <w:tcBorders>
              <w:right w:val="single" w:sz="8" w:space="0" w:color="000000"/>
            </w:tcBorders>
            <w:shd w:val="clear" w:color="auto" w:fill="auto"/>
            <w:noWrap/>
            <w:tcMar>
              <w:top w:w="0" w:type="dxa"/>
              <w:left w:w="70" w:type="dxa"/>
              <w:bottom w:w="0" w:type="dxa"/>
              <w:right w:w="70" w:type="dxa"/>
            </w:tcMar>
            <w:vAlign w:val="bottom"/>
          </w:tcPr>
          <w:p w14:paraId="5ADA021B" w14:textId="77777777" w:rsidR="00CB7A6E" w:rsidRPr="004D17AE" w:rsidRDefault="00CB7A6E" w:rsidP="00CB7A6E">
            <w:pPr>
              <w:overflowPunct/>
              <w:autoSpaceDE/>
              <w:spacing w:line="240" w:lineRule="auto"/>
              <w:jc w:val="center"/>
              <w:textAlignment w:val="auto"/>
              <w:rPr>
                <w:sz w:val="20"/>
              </w:rPr>
            </w:pPr>
            <w:r w:rsidRPr="004D17AE">
              <w:rPr>
                <w:sz w:val="20"/>
              </w:rPr>
              <w:t>1,</w:t>
            </w:r>
            <w:r w:rsidR="00146C47" w:rsidRPr="004D17AE">
              <w:rPr>
                <w:sz w:val="20"/>
              </w:rPr>
              <w:t>86</w:t>
            </w:r>
            <w:r w:rsidRPr="004D17AE">
              <w:rPr>
                <w:sz w:val="20"/>
              </w:rPr>
              <w:t>%</w:t>
            </w:r>
          </w:p>
        </w:tc>
      </w:tr>
      <w:tr w:rsidR="00162E69" w:rsidRPr="004D17AE" w14:paraId="069878A3" w14:textId="77777777" w:rsidTr="00162E69">
        <w:trPr>
          <w:trHeight w:val="255"/>
        </w:trPr>
        <w:tc>
          <w:tcPr>
            <w:tcW w:w="4526" w:type="dxa"/>
            <w:gridSpan w:val="2"/>
            <w:tcBorders>
              <w:left w:val="single" w:sz="8" w:space="0" w:color="000000"/>
            </w:tcBorders>
            <w:shd w:val="clear" w:color="auto" w:fill="auto"/>
            <w:noWrap/>
            <w:tcMar>
              <w:top w:w="0" w:type="dxa"/>
              <w:left w:w="70" w:type="dxa"/>
              <w:bottom w:w="0" w:type="dxa"/>
              <w:right w:w="70" w:type="dxa"/>
            </w:tcMar>
            <w:vAlign w:val="bottom"/>
          </w:tcPr>
          <w:p w14:paraId="3BEBF272" w14:textId="77777777" w:rsidR="00CB7A6E" w:rsidRPr="004D17AE" w:rsidRDefault="00CB7A6E" w:rsidP="00CB7A6E">
            <w:pPr>
              <w:overflowPunct/>
              <w:autoSpaceDE/>
              <w:spacing w:line="240" w:lineRule="auto"/>
              <w:jc w:val="left"/>
              <w:textAlignment w:val="auto"/>
              <w:rPr>
                <w:sz w:val="20"/>
              </w:rPr>
            </w:pPr>
            <w:r w:rsidRPr="004D17AE">
              <w:rPr>
                <w:sz w:val="20"/>
              </w:rPr>
              <w:t>Peso del capitale circolante (C/K)</w:t>
            </w:r>
          </w:p>
        </w:tc>
        <w:tc>
          <w:tcPr>
            <w:tcW w:w="1452" w:type="dxa"/>
            <w:gridSpan w:val="2"/>
            <w:shd w:val="clear" w:color="auto" w:fill="auto"/>
            <w:noWrap/>
            <w:tcMar>
              <w:top w:w="0" w:type="dxa"/>
              <w:left w:w="70" w:type="dxa"/>
              <w:bottom w:w="0" w:type="dxa"/>
              <w:right w:w="70" w:type="dxa"/>
            </w:tcMar>
            <w:vAlign w:val="bottom"/>
          </w:tcPr>
          <w:p w14:paraId="65C0E517" w14:textId="77777777" w:rsidR="00CB7A6E" w:rsidRPr="004D17AE" w:rsidRDefault="00CB7A6E" w:rsidP="00CB7A6E">
            <w:pPr>
              <w:overflowPunct/>
              <w:autoSpaceDE/>
              <w:spacing w:line="240" w:lineRule="auto"/>
              <w:jc w:val="center"/>
              <w:textAlignment w:val="auto"/>
              <w:rPr>
                <w:sz w:val="20"/>
              </w:rPr>
            </w:pPr>
            <w:r w:rsidRPr="004D17AE">
              <w:rPr>
                <w:sz w:val="20"/>
              </w:rPr>
              <w:t>98,</w:t>
            </w:r>
            <w:r w:rsidR="00146C47" w:rsidRPr="004D17AE">
              <w:rPr>
                <w:sz w:val="20"/>
              </w:rPr>
              <w:t>42</w:t>
            </w:r>
            <w:r w:rsidRPr="004D17AE">
              <w:rPr>
                <w:sz w:val="20"/>
              </w:rPr>
              <w:t>%</w:t>
            </w:r>
          </w:p>
        </w:tc>
        <w:tc>
          <w:tcPr>
            <w:tcW w:w="1457" w:type="dxa"/>
            <w:gridSpan w:val="2"/>
            <w:tcBorders>
              <w:right w:val="single" w:sz="8" w:space="0" w:color="000000"/>
            </w:tcBorders>
            <w:shd w:val="clear" w:color="auto" w:fill="auto"/>
            <w:noWrap/>
            <w:tcMar>
              <w:top w:w="0" w:type="dxa"/>
              <w:left w:w="70" w:type="dxa"/>
              <w:bottom w:w="0" w:type="dxa"/>
              <w:right w:w="70" w:type="dxa"/>
            </w:tcMar>
            <w:vAlign w:val="bottom"/>
          </w:tcPr>
          <w:p w14:paraId="34218FDA" w14:textId="77777777" w:rsidR="00CB7A6E" w:rsidRPr="004D17AE" w:rsidRDefault="00CB7A6E" w:rsidP="00CB7A6E">
            <w:pPr>
              <w:overflowPunct/>
              <w:autoSpaceDE/>
              <w:spacing w:line="240" w:lineRule="auto"/>
              <w:jc w:val="center"/>
              <w:textAlignment w:val="auto"/>
              <w:rPr>
                <w:sz w:val="20"/>
              </w:rPr>
            </w:pPr>
            <w:r w:rsidRPr="004D17AE">
              <w:rPr>
                <w:sz w:val="20"/>
              </w:rPr>
              <w:t>98,</w:t>
            </w:r>
            <w:r w:rsidR="00146C47" w:rsidRPr="004D17AE">
              <w:rPr>
                <w:sz w:val="20"/>
              </w:rPr>
              <w:t>14</w:t>
            </w:r>
            <w:r w:rsidRPr="004D17AE">
              <w:rPr>
                <w:sz w:val="20"/>
              </w:rPr>
              <w:t>%</w:t>
            </w:r>
          </w:p>
        </w:tc>
      </w:tr>
      <w:tr w:rsidR="00162E69" w:rsidRPr="004D17AE" w14:paraId="6DC0A7FF" w14:textId="77777777" w:rsidTr="00162E69">
        <w:trPr>
          <w:trHeight w:val="255"/>
        </w:trPr>
        <w:tc>
          <w:tcPr>
            <w:tcW w:w="4526" w:type="dxa"/>
            <w:gridSpan w:val="2"/>
            <w:tcBorders>
              <w:left w:val="single" w:sz="8" w:space="0" w:color="000000"/>
            </w:tcBorders>
            <w:shd w:val="clear" w:color="auto" w:fill="auto"/>
            <w:noWrap/>
            <w:tcMar>
              <w:top w:w="0" w:type="dxa"/>
              <w:left w:w="70" w:type="dxa"/>
              <w:bottom w:w="0" w:type="dxa"/>
              <w:right w:w="70" w:type="dxa"/>
            </w:tcMar>
            <w:vAlign w:val="bottom"/>
          </w:tcPr>
          <w:p w14:paraId="2258C1E9" w14:textId="77777777" w:rsidR="00146C47" w:rsidRPr="004D17AE" w:rsidRDefault="00146C47" w:rsidP="00146C47">
            <w:pPr>
              <w:overflowPunct/>
              <w:autoSpaceDE/>
              <w:spacing w:line="240" w:lineRule="auto"/>
              <w:jc w:val="left"/>
              <w:textAlignment w:val="auto"/>
              <w:rPr>
                <w:sz w:val="20"/>
              </w:rPr>
            </w:pPr>
            <w:r w:rsidRPr="004D17AE">
              <w:rPr>
                <w:sz w:val="20"/>
              </w:rPr>
              <w:t>Peso del capitale proprio (N/K)</w:t>
            </w:r>
          </w:p>
        </w:tc>
        <w:tc>
          <w:tcPr>
            <w:tcW w:w="1452" w:type="dxa"/>
            <w:gridSpan w:val="2"/>
            <w:shd w:val="clear" w:color="auto" w:fill="auto"/>
            <w:noWrap/>
            <w:tcMar>
              <w:top w:w="0" w:type="dxa"/>
              <w:left w:w="70" w:type="dxa"/>
              <w:bottom w:w="0" w:type="dxa"/>
              <w:right w:w="70" w:type="dxa"/>
            </w:tcMar>
            <w:vAlign w:val="bottom"/>
          </w:tcPr>
          <w:p w14:paraId="4213C011" w14:textId="77777777" w:rsidR="00146C47" w:rsidRPr="004D17AE" w:rsidRDefault="00146C47" w:rsidP="00146C47">
            <w:pPr>
              <w:overflowPunct/>
              <w:autoSpaceDE/>
              <w:spacing w:line="240" w:lineRule="auto"/>
              <w:jc w:val="center"/>
              <w:textAlignment w:val="auto"/>
              <w:rPr>
                <w:sz w:val="20"/>
              </w:rPr>
            </w:pPr>
            <w:r w:rsidRPr="004D17AE">
              <w:rPr>
                <w:sz w:val="20"/>
              </w:rPr>
              <w:t>11,52%</w:t>
            </w:r>
          </w:p>
        </w:tc>
        <w:tc>
          <w:tcPr>
            <w:tcW w:w="1457" w:type="dxa"/>
            <w:gridSpan w:val="2"/>
            <w:tcBorders>
              <w:right w:val="single" w:sz="8" w:space="0" w:color="000000"/>
            </w:tcBorders>
            <w:shd w:val="clear" w:color="auto" w:fill="auto"/>
            <w:noWrap/>
            <w:tcMar>
              <w:top w:w="0" w:type="dxa"/>
              <w:left w:w="70" w:type="dxa"/>
              <w:bottom w:w="0" w:type="dxa"/>
              <w:right w:w="70" w:type="dxa"/>
            </w:tcMar>
            <w:vAlign w:val="bottom"/>
          </w:tcPr>
          <w:p w14:paraId="0ABC1D67" w14:textId="77777777" w:rsidR="00146C47" w:rsidRPr="004D17AE" w:rsidRDefault="00146C47" w:rsidP="00146C47">
            <w:pPr>
              <w:overflowPunct/>
              <w:autoSpaceDE/>
              <w:spacing w:line="240" w:lineRule="auto"/>
              <w:jc w:val="center"/>
              <w:textAlignment w:val="auto"/>
              <w:rPr>
                <w:sz w:val="20"/>
              </w:rPr>
            </w:pPr>
            <w:r w:rsidRPr="004D17AE">
              <w:rPr>
                <w:sz w:val="20"/>
              </w:rPr>
              <w:t>10,74%</w:t>
            </w:r>
          </w:p>
        </w:tc>
      </w:tr>
      <w:tr w:rsidR="00162E69" w:rsidRPr="004D17AE" w14:paraId="2ACADC40" w14:textId="77777777" w:rsidTr="00162E69">
        <w:trPr>
          <w:trHeight w:val="255"/>
        </w:trPr>
        <w:tc>
          <w:tcPr>
            <w:tcW w:w="4526" w:type="dxa"/>
            <w:gridSpan w:val="2"/>
            <w:tcBorders>
              <w:left w:val="single" w:sz="8" w:space="0" w:color="000000"/>
            </w:tcBorders>
            <w:shd w:val="clear" w:color="auto" w:fill="auto"/>
            <w:noWrap/>
            <w:tcMar>
              <w:top w:w="0" w:type="dxa"/>
              <w:left w:w="70" w:type="dxa"/>
              <w:bottom w:w="0" w:type="dxa"/>
              <w:right w:w="70" w:type="dxa"/>
            </w:tcMar>
            <w:vAlign w:val="bottom"/>
          </w:tcPr>
          <w:p w14:paraId="12F9C897" w14:textId="77777777" w:rsidR="00146C47" w:rsidRPr="004D17AE" w:rsidRDefault="00146C47" w:rsidP="00146C47">
            <w:pPr>
              <w:overflowPunct/>
              <w:autoSpaceDE/>
              <w:spacing w:line="240" w:lineRule="auto"/>
              <w:jc w:val="left"/>
              <w:textAlignment w:val="auto"/>
              <w:rPr>
                <w:sz w:val="20"/>
              </w:rPr>
            </w:pPr>
            <w:r w:rsidRPr="004D17AE">
              <w:rPr>
                <w:sz w:val="20"/>
              </w:rPr>
              <w:t>Peso del capitale di terzi (T/K)</w:t>
            </w:r>
          </w:p>
        </w:tc>
        <w:tc>
          <w:tcPr>
            <w:tcW w:w="1452" w:type="dxa"/>
            <w:gridSpan w:val="2"/>
            <w:shd w:val="clear" w:color="auto" w:fill="auto"/>
            <w:noWrap/>
            <w:tcMar>
              <w:top w:w="0" w:type="dxa"/>
              <w:left w:w="70" w:type="dxa"/>
              <w:bottom w:w="0" w:type="dxa"/>
              <w:right w:w="70" w:type="dxa"/>
            </w:tcMar>
            <w:vAlign w:val="bottom"/>
          </w:tcPr>
          <w:p w14:paraId="13911283" w14:textId="77777777" w:rsidR="00146C47" w:rsidRPr="004D17AE" w:rsidRDefault="00146C47" w:rsidP="00146C47">
            <w:pPr>
              <w:overflowPunct/>
              <w:autoSpaceDE/>
              <w:spacing w:line="240" w:lineRule="auto"/>
              <w:jc w:val="center"/>
              <w:textAlignment w:val="auto"/>
              <w:rPr>
                <w:sz w:val="20"/>
              </w:rPr>
            </w:pPr>
            <w:r w:rsidRPr="004D17AE">
              <w:rPr>
                <w:sz w:val="20"/>
              </w:rPr>
              <w:t>88,48%</w:t>
            </w:r>
          </w:p>
        </w:tc>
        <w:tc>
          <w:tcPr>
            <w:tcW w:w="1457" w:type="dxa"/>
            <w:gridSpan w:val="2"/>
            <w:tcBorders>
              <w:right w:val="single" w:sz="8" w:space="0" w:color="000000"/>
            </w:tcBorders>
            <w:shd w:val="clear" w:color="auto" w:fill="auto"/>
            <w:noWrap/>
            <w:tcMar>
              <w:top w:w="0" w:type="dxa"/>
              <w:left w:w="70" w:type="dxa"/>
              <w:bottom w:w="0" w:type="dxa"/>
              <w:right w:w="70" w:type="dxa"/>
            </w:tcMar>
            <w:vAlign w:val="bottom"/>
          </w:tcPr>
          <w:p w14:paraId="3F7FF445" w14:textId="77777777" w:rsidR="00146C47" w:rsidRPr="004D17AE" w:rsidRDefault="00146C47" w:rsidP="00146C47">
            <w:pPr>
              <w:overflowPunct/>
              <w:autoSpaceDE/>
              <w:spacing w:line="240" w:lineRule="auto"/>
              <w:jc w:val="center"/>
              <w:textAlignment w:val="auto"/>
              <w:rPr>
                <w:sz w:val="20"/>
              </w:rPr>
            </w:pPr>
            <w:r w:rsidRPr="004D17AE">
              <w:rPr>
                <w:sz w:val="20"/>
              </w:rPr>
              <w:t>89,26%</w:t>
            </w:r>
          </w:p>
        </w:tc>
      </w:tr>
      <w:tr w:rsidR="00162E69" w:rsidRPr="004D17AE" w14:paraId="0627EA45" w14:textId="77777777" w:rsidTr="00162E69">
        <w:trPr>
          <w:trHeight w:val="255"/>
        </w:trPr>
        <w:tc>
          <w:tcPr>
            <w:tcW w:w="4526" w:type="dxa"/>
            <w:gridSpan w:val="2"/>
            <w:tcBorders>
              <w:left w:val="single" w:sz="8" w:space="0" w:color="000000"/>
            </w:tcBorders>
            <w:shd w:val="clear" w:color="auto" w:fill="auto"/>
            <w:tcMar>
              <w:top w:w="0" w:type="dxa"/>
              <w:left w:w="70" w:type="dxa"/>
              <w:bottom w:w="0" w:type="dxa"/>
              <w:right w:w="70" w:type="dxa"/>
            </w:tcMar>
            <w:vAlign w:val="bottom"/>
          </w:tcPr>
          <w:p w14:paraId="43704D47" w14:textId="77777777" w:rsidR="00146C47" w:rsidRPr="004D17AE" w:rsidRDefault="00146C47" w:rsidP="00146C47">
            <w:pPr>
              <w:overflowPunct/>
              <w:autoSpaceDE/>
              <w:spacing w:line="240" w:lineRule="auto"/>
              <w:jc w:val="left"/>
              <w:textAlignment w:val="auto"/>
              <w:rPr>
                <w:sz w:val="20"/>
              </w:rPr>
            </w:pPr>
            <w:r w:rsidRPr="004D17AE">
              <w:rPr>
                <w:sz w:val="20"/>
              </w:rPr>
              <w:t>Indice di autocopertura del capitale fisso (N/I)</w:t>
            </w:r>
          </w:p>
        </w:tc>
        <w:tc>
          <w:tcPr>
            <w:tcW w:w="1452" w:type="dxa"/>
            <w:gridSpan w:val="2"/>
            <w:shd w:val="clear" w:color="auto" w:fill="auto"/>
            <w:noWrap/>
            <w:tcMar>
              <w:top w:w="0" w:type="dxa"/>
              <w:left w:w="70" w:type="dxa"/>
              <w:bottom w:w="0" w:type="dxa"/>
              <w:right w:w="70" w:type="dxa"/>
            </w:tcMar>
            <w:vAlign w:val="bottom"/>
          </w:tcPr>
          <w:p w14:paraId="46518851" w14:textId="77777777" w:rsidR="00146C47" w:rsidRPr="004D17AE" w:rsidRDefault="00146C47" w:rsidP="00146C47">
            <w:pPr>
              <w:overflowPunct/>
              <w:autoSpaceDE/>
              <w:spacing w:line="240" w:lineRule="auto"/>
              <w:jc w:val="center"/>
              <w:textAlignment w:val="auto"/>
              <w:rPr>
                <w:sz w:val="20"/>
              </w:rPr>
            </w:pPr>
            <w:r w:rsidRPr="004D17AE">
              <w:rPr>
                <w:sz w:val="20"/>
              </w:rPr>
              <w:t>7,30</w:t>
            </w:r>
          </w:p>
        </w:tc>
        <w:tc>
          <w:tcPr>
            <w:tcW w:w="1457" w:type="dxa"/>
            <w:gridSpan w:val="2"/>
            <w:tcBorders>
              <w:right w:val="single" w:sz="8" w:space="0" w:color="000000"/>
            </w:tcBorders>
            <w:shd w:val="clear" w:color="auto" w:fill="auto"/>
            <w:noWrap/>
            <w:tcMar>
              <w:top w:w="0" w:type="dxa"/>
              <w:left w:w="70" w:type="dxa"/>
              <w:bottom w:w="0" w:type="dxa"/>
              <w:right w:w="70" w:type="dxa"/>
            </w:tcMar>
            <w:vAlign w:val="bottom"/>
          </w:tcPr>
          <w:p w14:paraId="40E75801" w14:textId="77777777" w:rsidR="00146C47" w:rsidRPr="004D17AE" w:rsidRDefault="00146C47" w:rsidP="00146C47">
            <w:pPr>
              <w:overflowPunct/>
              <w:autoSpaceDE/>
              <w:spacing w:line="240" w:lineRule="auto"/>
              <w:jc w:val="center"/>
              <w:textAlignment w:val="auto"/>
              <w:rPr>
                <w:sz w:val="20"/>
              </w:rPr>
            </w:pPr>
            <w:r w:rsidRPr="004D17AE">
              <w:rPr>
                <w:sz w:val="20"/>
              </w:rPr>
              <w:t>5,77</w:t>
            </w:r>
          </w:p>
        </w:tc>
      </w:tr>
      <w:tr w:rsidR="00162E69" w:rsidRPr="004D17AE" w14:paraId="6B766284" w14:textId="77777777" w:rsidTr="00162E69">
        <w:trPr>
          <w:trHeight w:val="255"/>
        </w:trPr>
        <w:tc>
          <w:tcPr>
            <w:tcW w:w="4526" w:type="dxa"/>
            <w:gridSpan w:val="2"/>
            <w:tcBorders>
              <w:left w:val="single" w:sz="8" w:space="0" w:color="000000"/>
            </w:tcBorders>
            <w:shd w:val="clear" w:color="auto" w:fill="auto"/>
            <w:noWrap/>
            <w:tcMar>
              <w:top w:w="0" w:type="dxa"/>
              <w:left w:w="70" w:type="dxa"/>
              <w:bottom w:w="0" w:type="dxa"/>
              <w:right w:w="70" w:type="dxa"/>
            </w:tcMar>
            <w:vAlign w:val="bottom"/>
          </w:tcPr>
          <w:p w14:paraId="44530C9E" w14:textId="77777777" w:rsidR="00146C47" w:rsidRPr="004D17AE" w:rsidRDefault="00146C47" w:rsidP="00146C47">
            <w:pPr>
              <w:overflowPunct/>
              <w:autoSpaceDE/>
              <w:spacing w:line="240" w:lineRule="auto"/>
              <w:jc w:val="left"/>
              <w:textAlignment w:val="auto"/>
              <w:rPr>
                <w:sz w:val="20"/>
              </w:rPr>
            </w:pPr>
            <w:r w:rsidRPr="004D17AE">
              <w:rPr>
                <w:sz w:val="20"/>
              </w:rPr>
              <w:t>Indice di disponibilità (C/Pc)</w:t>
            </w:r>
          </w:p>
        </w:tc>
        <w:tc>
          <w:tcPr>
            <w:tcW w:w="1452" w:type="dxa"/>
            <w:gridSpan w:val="2"/>
            <w:shd w:val="clear" w:color="auto" w:fill="auto"/>
            <w:noWrap/>
            <w:tcMar>
              <w:top w:w="0" w:type="dxa"/>
              <w:left w:w="70" w:type="dxa"/>
              <w:bottom w:w="0" w:type="dxa"/>
              <w:right w:w="70" w:type="dxa"/>
            </w:tcMar>
            <w:vAlign w:val="bottom"/>
          </w:tcPr>
          <w:p w14:paraId="4117E20A" w14:textId="77777777" w:rsidR="00146C47" w:rsidRPr="004D17AE" w:rsidRDefault="00146C47" w:rsidP="00146C47">
            <w:pPr>
              <w:overflowPunct/>
              <w:autoSpaceDE/>
              <w:spacing w:line="240" w:lineRule="auto"/>
              <w:jc w:val="center"/>
              <w:textAlignment w:val="auto"/>
              <w:rPr>
                <w:sz w:val="20"/>
              </w:rPr>
            </w:pPr>
            <w:r w:rsidRPr="004D17AE">
              <w:rPr>
                <w:sz w:val="20"/>
              </w:rPr>
              <w:t>1,12</w:t>
            </w:r>
          </w:p>
        </w:tc>
        <w:tc>
          <w:tcPr>
            <w:tcW w:w="1457" w:type="dxa"/>
            <w:gridSpan w:val="2"/>
            <w:tcBorders>
              <w:right w:val="single" w:sz="8" w:space="0" w:color="000000"/>
            </w:tcBorders>
            <w:shd w:val="clear" w:color="auto" w:fill="auto"/>
            <w:noWrap/>
            <w:tcMar>
              <w:top w:w="0" w:type="dxa"/>
              <w:left w:w="70" w:type="dxa"/>
              <w:bottom w:w="0" w:type="dxa"/>
              <w:right w:w="70" w:type="dxa"/>
            </w:tcMar>
            <w:vAlign w:val="bottom"/>
          </w:tcPr>
          <w:p w14:paraId="4C476EE7" w14:textId="77777777" w:rsidR="00146C47" w:rsidRPr="004D17AE" w:rsidRDefault="00146C47" w:rsidP="00146C47">
            <w:pPr>
              <w:overflowPunct/>
              <w:autoSpaceDE/>
              <w:spacing w:line="240" w:lineRule="auto"/>
              <w:jc w:val="center"/>
              <w:textAlignment w:val="auto"/>
              <w:rPr>
                <w:sz w:val="20"/>
              </w:rPr>
            </w:pPr>
            <w:r w:rsidRPr="004D17AE">
              <w:rPr>
                <w:sz w:val="20"/>
              </w:rPr>
              <w:t>1,11</w:t>
            </w:r>
          </w:p>
        </w:tc>
      </w:tr>
      <w:tr w:rsidR="00162E69" w:rsidRPr="004D17AE" w14:paraId="692EC6BB" w14:textId="77777777" w:rsidTr="00162E69">
        <w:trPr>
          <w:trHeight w:val="255"/>
        </w:trPr>
        <w:tc>
          <w:tcPr>
            <w:tcW w:w="4526" w:type="dxa"/>
            <w:gridSpan w:val="2"/>
            <w:tcBorders>
              <w:left w:val="single" w:sz="8" w:space="0" w:color="000000"/>
              <w:bottom w:val="single" w:sz="4" w:space="0" w:color="000000"/>
            </w:tcBorders>
            <w:shd w:val="clear" w:color="auto" w:fill="auto"/>
            <w:noWrap/>
            <w:tcMar>
              <w:top w:w="0" w:type="dxa"/>
              <w:left w:w="70" w:type="dxa"/>
              <w:bottom w:w="0" w:type="dxa"/>
              <w:right w:w="70" w:type="dxa"/>
            </w:tcMar>
            <w:vAlign w:val="bottom"/>
          </w:tcPr>
          <w:p w14:paraId="37AE508C" w14:textId="77777777" w:rsidR="00146C47" w:rsidRPr="004D17AE" w:rsidRDefault="00146C47" w:rsidP="00146C47">
            <w:pPr>
              <w:overflowPunct/>
              <w:autoSpaceDE/>
              <w:spacing w:line="240" w:lineRule="auto"/>
              <w:jc w:val="left"/>
              <w:textAlignment w:val="auto"/>
              <w:rPr>
                <w:sz w:val="20"/>
              </w:rPr>
            </w:pPr>
            <w:r w:rsidRPr="004D17AE">
              <w:rPr>
                <w:sz w:val="20"/>
              </w:rPr>
              <w:t>Indice di liquidità [(Li+Ld)/Pc]</w:t>
            </w:r>
          </w:p>
        </w:tc>
        <w:tc>
          <w:tcPr>
            <w:tcW w:w="1452" w:type="dxa"/>
            <w:gridSpan w:val="2"/>
            <w:tcBorders>
              <w:bottom w:val="single" w:sz="4" w:space="0" w:color="000000"/>
            </w:tcBorders>
            <w:shd w:val="clear" w:color="auto" w:fill="auto"/>
            <w:noWrap/>
            <w:tcMar>
              <w:top w:w="0" w:type="dxa"/>
              <w:left w:w="70" w:type="dxa"/>
              <w:bottom w:w="0" w:type="dxa"/>
              <w:right w:w="70" w:type="dxa"/>
            </w:tcMar>
            <w:vAlign w:val="bottom"/>
          </w:tcPr>
          <w:p w14:paraId="3554E898" w14:textId="77777777" w:rsidR="00146C47" w:rsidRPr="004D17AE" w:rsidRDefault="00146C47" w:rsidP="00146C47">
            <w:pPr>
              <w:overflowPunct/>
              <w:autoSpaceDE/>
              <w:spacing w:line="240" w:lineRule="auto"/>
              <w:jc w:val="center"/>
              <w:textAlignment w:val="auto"/>
              <w:rPr>
                <w:sz w:val="20"/>
              </w:rPr>
            </w:pPr>
            <w:r w:rsidRPr="004D17AE">
              <w:rPr>
                <w:sz w:val="20"/>
              </w:rPr>
              <w:t>0,19</w:t>
            </w:r>
          </w:p>
        </w:tc>
        <w:tc>
          <w:tcPr>
            <w:tcW w:w="1457" w:type="dxa"/>
            <w:gridSpan w:val="2"/>
            <w:tcBorders>
              <w:bottom w:val="single" w:sz="4" w:space="0" w:color="000000"/>
              <w:right w:val="single" w:sz="8" w:space="0" w:color="000000"/>
            </w:tcBorders>
            <w:shd w:val="clear" w:color="auto" w:fill="auto"/>
            <w:noWrap/>
            <w:tcMar>
              <w:top w:w="0" w:type="dxa"/>
              <w:left w:w="70" w:type="dxa"/>
              <w:bottom w:w="0" w:type="dxa"/>
              <w:right w:w="70" w:type="dxa"/>
            </w:tcMar>
            <w:vAlign w:val="bottom"/>
          </w:tcPr>
          <w:p w14:paraId="156BF1FA" w14:textId="77777777" w:rsidR="00146C47" w:rsidRPr="004D17AE" w:rsidRDefault="00146C47" w:rsidP="00146C47">
            <w:pPr>
              <w:overflowPunct/>
              <w:autoSpaceDE/>
              <w:spacing w:line="240" w:lineRule="auto"/>
              <w:jc w:val="center"/>
              <w:textAlignment w:val="auto"/>
              <w:rPr>
                <w:sz w:val="20"/>
              </w:rPr>
            </w:pPr>
            <w:r w:rsidRPr="004D17AE">
              <w:rPr>
                <w:sz w:val="20"/>
              </w:rPr>
              <w:t>0,21</w:t>
            </w:r>
          </w:p>
        </w:tc>
      </w:tr>
      <w:tr w:rsidR="00162E69" w:rsidRPr="004D17AE" w14:paraId="5024D5C2" w14:textId="77777777" w:rsidTr="00162E69">
        <w:trPr>
          <w:gridAfter w:val="1"/>
          <w:wAfter w:w="162" w:type="dxa"/>
          <w:trHeight w:val="255"/>
        </w:trPr>
        <w:tc>
          <w:tcPr>
            <w:tcW w:w="4364" w:type="dxa"/>
            <w:shd w:val="clear" w:color="auto" w:fill="auto"/>
            <w:noWrap/>
            <w:tcMar>
              <w:top w:w="0" w:type="dxa"/>
              <w:left w:w="70" w:type="dxa"/>
              <w:bottom w:w="0" w:type="dxa"/>
              <w:right w:w="70" w:type="dxa"/>
            </w:tcMar>
            <w:vAlign w:val="bottom"/>
          </w:tcPr>
          <w:p w14:paraId="428AD5A4" w14:textId="77777777" w:rsidR="00162E69" w:rsidRPr="004D17AE" w:rsidRDefault="00162E69">
            <w:pPr>
              <w:overflowPunct/>
              <w:autoSpaceDE/>
              <w:spacing w:line="240" w:lineRule="auto"/>
              <w:jc w:val="left"/>
              <w:textAlignment w:val="auto"/>
              <w:rPr>
                <w:b/>
                <w:i/>
                <w:iCs/>
                <w:sz w:val="20"/>
              </w:rPr>
            </w:pPr>
            <w:r w:rsidRPr="004D17AE">
              <w:rPr>
                <w:b/>
                <w:i/>
                <w:iCs/>
                <w:sz w:val="20"/>
              </w:rPr>
              <w:t>Legenda:</w:t>
            </w:r>
          </w:p>
        </w:tc>
        <w:tc>
          <w:tcPr>
            <w:tcW w:w="1452" w:type="dxa"/>
            <w:gridSpan w:val="2"/>
            <w:shd w:val="clear" w:color="auto" w:fill="auto"/>
            <w:noWrap/>
            <w:tcMar>
              <w:top w:w="0" w:type="dxa"/>
              <w:left w:w="70" w:type="dxa"/>
              <w:bottom w:w="0" w:type="dxa"/>
              <w:right w:w="70" w:type="dxa"/>
            </w:tcMar>
            <w:vAlign w:val="bottom"/>
          </w:tcPr>
          <w:p w14:paraId="6332C905" w14:textId="77777777" w:rsidR="00162E69" w:rsidRPr="004D17AE" w:rsidRDefault="00162E69">
            <w:pPr>
              <w:overflowPunct/>
              <w:autoSpaceDE/>
              <w:spacing w:line="240" w:lineRule="auto"/>
              <w:jc w:val="left"/>
              <w:textAlignment w:val="auto"/>
              <w:rPr>
                <w:b/>
                <w:sz w:val="20"/>
              </w:rPr>
            </w:pPr>
          </w:p>
        </w:tc>
        <w:tc>
          <w:tcPr>
            <w:tcW w:w="1457" w:type="dxa"/>
            <w:gridSpan w:val="2"/>
            <w:shd w:val="clear" w:color="auto" w:fill="auto"/>
            <w:noWrap/>
            <w:tcMar>
              <w:top w:w="0" w:type="dxa"/>
              <w:left w:w="70" w:type="dxa"/>
              <w:bottom w:w="0" w:type="dxa"/>
              <w:right w:w="70" w:type="dxa"/>
            </w:tcMar>
            <w:vAlign w:val="bottom"/>
          </w:tcPr>
          <w:p w14:paraId="2E56B9DB" w14:textId="77777777" w:rsidR="00162E69" w:rsidRPr="004D17AE" w:rsidRDefault="00162E69">
            <w:pPr>
              <w:overflowPunct/>
              <w:autoSpaceDE/>
              <w:spacing w:line="240" w:lineRule="auto"/>
              <w:jc w:val="left"/>
              <w:textAlignment w:val="auto"/>
              <w:rPr>
                <w:b/>
                <w:sz w:val="20"/>
              </w:rPr>
            </w:pPr>
          </w:p>
        </w:tc>
      </w:tr>
      <w:tr w:rsidR="00162E69" w:rsidRPr="004D17AE" w14:paraId="07411594" w14:textId="77777777" w:rsidTr="00162E69">
        <w:trPr>
          <w:gridAfter w:val="1"/>
          <w:wAfter w:w="162" w:type="dxa"/>
          <w:trHeight w:val="255"/>
        </w:trPr>
        <w:tc>
          <w:tcPr>
            <w:tcW w:w="4364" w:type="dxa"/>
            <w:shd w:val="clear" w:color="auto" w:fill="auto"/>
            <w:noWrap/>
            <w:tcMar>
              <w:top w:w="0" w:type="dxa"/>
              <w:left w:w="70" w:type="dxa"/>
              <w:bottom w:w="0" w:type="dxa"/>
              <w:right w:w="70" w:type="dxa"/>
            </w:tcMar>
            <w:vAlign w:val="bottom"/>
          </w:tcPr>
          <w:p w14:paraId="30294D18" w14:textId="77777777" w:rsidR="00162E69" w:rsidRPr="004D17AE" w:rsidRDefault="00162E69">
            <w:pPr>
              <w:overflowPunct/>
              <w:autoSpaceDE/>
              <w:spacing w:line="240" w:lineRule="auto"/>
              <w:jc w:val="left"/>
              <w:textAlignment w:val="auto"/>
              <w:rPr>
                <w:i/>
                <w:iCs/>
                <w:sz w:val="20"/>
              </w:rPr>
            </w:pPr>
            <w:r w:rsidRPr="004D17AE">
              <w:rPr>
                <w:i/>
                <w:iCs/>
                <w:sz w:val="20"/>
              </w:rPr>
              <w:t>I = Attivo immobilizzato</w:t>
            </w:r>
          </w:p>
        </w:tc>
        <w:tc>
          <w:tcPr>
            <w:tcW w:w="1452" w:type="dxa"/>
            <w:gridSpan w:val="2"/>
            <w:shd w:val="clear" w:color="auto" w:fill="auto"/>
            <w:noWrap/>
            <w:tcMar>
              <w:top w:w="0" w:type="dxa"/>
              <w:left w:w="70" w:type="dxa"/>
              <w:bottom w:w="0" w:type="dxa"/>
              <w:right w:w="70" w:type="dxa"/>
            </w:tcMar>
            <w:vAlign w:val="bottom"/>
          </w:tcPr>
          <w:p w14:paraId="3B7F4E7C" w14:textId="77777777" w:rsidR="00162E69" w:rsidRPr="004D17AE" w:rsidRDefault="00162E69">
            <w:pPr>
              <w:overflowPunct/>
              <w:autoSpaceDE/>
              <w:spacing w:line="240" w:lineRule="auto"/>
              <w:jc w:val="left"/>
              <w:textAlignment w:val="auto"/>
              <w:rPr>
                <w:sz w:val="20"/>
              </w:rPr>
            </w:pPr>
          </w:p>
        </w:tc>
        <w:tc>
          <w:tcPr>
            <w:tcW w:w="1457" w:type="dxa"/>
            <w:gridSpan w:val="2"/>
            <w:shd w:val="clear" w:color="auto" w:fill="auto"/>
            <w:noWrap/>
            <w:tcMar>
              <w:top w:w="0" w:type="dxa"/>
              <w:left w:w="70" w:type="dxa"/>
              <w:bottom w:w="0" w:type="dxa"/>
              <w:right w:w="70" w:type="dxa"/>
            </w:tcMar>
            <w:vAlign w:val="bottom"/>
          </w:tcPr>
          <w:p w14:paraId="1DF2D0CD" w14:textId="77777777" w:rsidR="00162E69" w:rsidRPr="004D17AE" w:rsidRDefault="00162E69">
            <w:pPr>
              <w:overflowPunct/>
              <w:autoSpaceDE/>
              <w:spacing w:line="240" w:lineRule="auto"/>
              <w:jc w:val="left"/>
              <w:textAlignment w:val="auto"/>
              <w:rPr>
                <w:sz w:val="20"/>
              </w:rPr>
            </w:pPr>
          </w:p>
        </w:tc>
      </w:tr>
      <w:tr w:rsidR="00162E69" w:rsidRPr="004D17AE" w14:paraId="4C807D48" w14:textId="77777777" w:rsidTr="00162E69">
        <w:trPr>
          <w:gridAfter w:val="1"/>
          <w:wAfter w:w="162" w:type="dxa"/>
          <w:trHeight w:val="255"/>
        </w:trPr>
        <w:tc>
          <w:tcPr>
            <w:tcW w:w="4364" w:type="dxa"/>
            <w:shd w:val="clear" w:color="auto" w:fill="auto"/>
            <w:noWrap/>
            <w:tcMar>
              <w:top w:w="0" w:type="dxa"/>
              <w:left w:w="70" w:type="dxa"/>
              <w:bottom w:w="0" w:type="dxa"/>
              <w:right w:w="70" w:type="dxa"/>
            </w:tcMar>
            <w:vAlign w:val="bottom"/>
          </w:tcPr>
          <w:p w14:paraId="66E57EB8" w14:textId="77777777" w:rsidR="00162E69" w:rsidRPr="004D17AE" w:rsidRDefault="00162E69">
            <w:pPr>
              <w:overflowPunct/>
              <w:autoSpaceDE/>
              <w:spacing w:line="240" w:lineRule="auto"/>
              <w:jc w:val="left"/>
              <w:textAlignment w:val="auto"/>
              <w:rPr>
                <w:i/>
                <w:iCs/>
                <w:sz w:val="20"/>
              </w:rPr>
            </w:pPr>
            <w:r w:rsidRPr="004D17AE">
              <w:rPr>
                <w:i/>
                <w:iCs/>
                <w:sz w:val="20"/>
              </w:rPr>
              <w:t>K = Capitale investito e Totale delle Fonti</w:t>
            </w:r>
          </w:p>
        </w:tc>
        <w:tc>
          <w:tcPr>
            <w:tcW w:w="1452" w:type="dxa"/>
            <w:gridSpan w:val="2"/>
            <w:shd w:val="clear" w:color="auto" w:fill="auto"/>
            <w:noWrap/>
            <w:tcMar>
              <w:top w:w="0" w:type="dxa"/>
              <w:left w:w="70" w:type="dxa"/>
              <w:bottom w:w="0" w:type="dxa"/>
              <w:right w:w="70" w:type="dxa"/>
            </w:tcMar>
            <w:vAlign w:val="bottom"/>
          </w:tcPr>
          <w:p w14:paraId="0D3B3C47" w14:textId="77777777" w:rsidR="00162E69" w:rsidRPr="004D17AE" w:rsidRDefault="00162E69">
            <w:pPr>
              <w:overflowPunct/>
              <w:autoSpaceDE/>
              <w:spacing w:line="240" w:lineRule="auto"/>
              <w:jc w:val="left"/>
              <w:textAlignment w:val="auto"/>
              <w:rPr>
                <w:sz w:val="20"/>
              </w:rPr>
            </w:pPr>
          </w:p>
        </w:tc>
        <w:tc>
          <w:tcPr>
            <w:tcW w:w="1457" w:type="dxa"/>
            <w:gridSpan w:val="2"/>
            <w:shd w:val="clear" w:color="auto" w:fill="auto"/>
            <w:noWrap/>
            <w:tcMar>
              <w:top w:w="0" w:type="dxa"/>
              <w:left w:w="70" w:type="dxa"/>
              <w:bottom w:w="0" w:type="dxa"/>
              <w:right w:w="70" w:type="dxa"/>
            </w:tcMar>
            <w:vAlign w:val="bottom"/>
          </w:tcPr>
          <w:p w14:paraId="348424B2" w14:textId="77777777" w:rsidR="00162E69" w:rsidRPr="004D17AE" w:rsidRDefault="00162E69">
            <w:pPr>
              <w:overflowPunct/>
              <w:autoSpaceDE/>
              <w:spacing w:line="240" w:lineRule="auto"/>
              <w:jc w:val="left"/>
              <w:textAlignment w:val="auto"/>
              <w:rPr>
                <w:sz w:val="20"/>
              </w:rPr>
            </w:pPr>
          </w:p>
        </w:tc>
      </w:tr>
      <w:tr w:rsidR="00162E69" w:rsidRPr="004D17AE" w14:paraId="24D8C7CD" w14:textId="77777777" w:rsidTr="00162E69">
        <w:trPr>
          <w:gridAfter w:val="1"/>
          <w:wAfter w:w="162" w:type="dxa"/>
          <w:trHeight w:val="255"/>
        </w:trPr>
        <w:tc>
          <w:tcPr>
            <w:tcW w:w="7273" w:type="dxa"/>
            <w:gridSpan w:val="5"/>
            <w:shd w:val="clear" w:color="auto" w:fill="auto"/>
            <w:noWrap/>
            <w:tcMar>
              <w:top w:w="0" w:type="dxa"/>
              <w:left w:w="70" w:type="dxa"/>
              <w:bottom w:w="0" w:type="dxa"/>
              <w:right w:w="70" w:type="dxa"/>
            </w:tcMar>
            <w:vAlign w:val="bottom"/>
          </w:tcPr>
          <w:p w14:paraId="78530AF8" w14:textId="77777777" w:rsidR="00162E69" w:rsidRPr="004D17AE" w:rsidRDefault="00162E69">
            <w:pPr>
              <w:overflowPunct/>
              <w:autoSpaceDE/>
              <w:spacing w:line="240" w:lineRule="auto"/>
              <w:jc w:val="left"/>
              <w:textAlignment w:val="auto"/>
              <w:rPr>
                <w:sz w:val="20"/>
              </w:rPr>
            </w:pPr>
            <w:r w:rsidRPr="004D17AE">
              <w:rPr>
                <w:i/>
                <w:iCs/>
                <w:sz w:val="20"/>
              </w:rPr>
              <w:t>C = Rimanenze + Liquidità differite +  Liquidità immediate</w:t>
            </w:r>
          </w:p>
        </w:tc>
      </w:tr>
      <w:tr w:rsidR="00162E69" w:rsidRPr="004D17AE" w14:paraId="349F82CF" w14:textId="77777777" w:rsidTr="00162E69">
        <w:trPr>
          <w:gridAfter w:val="1"/>
          <w:wAfter w:w="162" w:type="dxa"/>
          <w:trHeight w:val="255"/>
        </w:trPr>
        <w:tc>
          <w:tcPr>
            <w:tcW w:w="4364" w:type="dxa"/>
            <w:shd w:val="clear" w:color="auto" w:fill="auto"/>
            <w:noWrap/>
            <w:tcMar>
              <w:top w:w="0" w:type="dxa"/>
              <w:left w:w="70" w:type="dxa"/>
              <w:bottom w:w="0" w:type="dxa"/>
              <w:right w:w="70" w:type="dxa"/>
            </w:tcMar>
            <w:vAlign w:val="bottom"/>
          </w:tcPr>
          <w:p w14:paraId="2B75D91E" w14:textId="77777777" w:rsidR="00162E69" w:rsidRPr="004D17AE" w:rsidRDefault="00162E69">
            <w:pPr>
              <w:overflowPunct/>
              <w:autoSpaceDE/>
              <w:spacing w:line="240" w:lineRule="auto"/>
              <w:jc w:val="left"/>
              <w:textAlignment w:val="auto"/>
              <w:rPr>
                <w:i/>
                <w:iCs/>
                <w:sz w:val="20"/>
              </w:rPr>
            </w:pPr>
            <w:r w:rsidRPr="004D17AE">
              <w:rPr>
                <w:i/>
                <w:iCs/>
                <w:sz w:val="20"/>
              </w:rPr>
              <w:t>N = Capitale proprio</w:t>
            </w:r>
          </w:p>
        </w:tc>
        <w:tc>
          <w:tcPr>
            <w:tcW w:w="1452" w:type="dxa"/>
            <w:gridSpan w:val="2"/>
            <w:shd w:val="clear" w:color="auto" w:fill="auto"/>
            <w:noWrap/>
            <w:tcMar>
              <w:top w:w="0" w:type="dxa"/>
              <w:left w:w="70" w:type="dxa"/>
              <w:bottom w:w="0" w:type="dxa"/>
              <w:right w:w="70" w:type="dxa"/>
            </w:tcMar>
            <w:vAlign w:val="bottom"/>
          </w:tcPr>
          <w:p w14:paraId="63171EFA" w14:textId="77777777" w:rsidR="00162E69" w:rsidRPr="004D17AE" w:rsidRDefault="00162E69">
            <w:pPr>
              <w:overflowPunct/>
              <w:autoSpaceDE/>
              <w:spacing w:line="240" w:lineRule="auto"/>
              <w:jc w:val="left"/>
              <w:textAlignment w:val="auto"/>
              <w:rPr>
                <w:sz w:val="20"/>
              </w:rPr>
            </w:pPr>
          </w:p>
        </w:tc>
        <w:tc>
          <w:tcPr>
            <w:tcW w:w="1457" w:type="dxa"/>
            <w:gridSpan w:val="2"/>
            <w:shd w:val="clear" w:color="auto" w:fill="auto"/>
            <w:noWrap/>
            <w:tcMar>
              <w:top w:w="0" w:type="dxa"/>
              <w:left w:w="70" w:type="dxa"/>
              <w:bottom w:w="0" w:type="dxa"/>
              <w:right w:w="70" w:type="dxa"/>
            </w:tcMar>
            <w:vAlign w:val="bottom"/>
          </w:tcPr>
          <w:p w14:paraId="090C36D0" w14:textId="77777777" w:rsidR="00162E69" w:rsidRPr="004D17AE" w:rsidRDefault="00162E69">
            <w:pPr>
              <w:overflowPunct/>
              <w:autoSpaceDE/>
              <w:spacing w:line="240" w:lineRule="auto"/>
              <w:jc w:val="left"/>
              <w:textAlignment w:val="auto"/>
              <w:rPr>
                <w:sz w:val="20"/>
              </w:rPr>
            </w:pPr>
          </w:p>
        </w:tc>
      </w:tr>
      <w:tr w:rsidR="00162E69" w:rsidRPr="004D17AE" w14:paraId="0E01F54F" w14:textId="77777777" w:rsidTr="00162E69">
        <w:trPr>
          <w:gridAfter w:val="1"/>
          <w:wAfter w:w="162" w:type="dxa"/>
          <w:trHeight w:val="255"/>
        </w:trPr>
        <w:tc>
          <w:tcPr>
            <w:tcW w:w="7273" w:type="dxa"/>
            <w:gridSpan w:val="5"/>
            <w:shd w:val="clear" w:color="auto" w:fill="auto"/>
            <w:noWrap/>
            <w:tcMar>
              <w:top w:w="0" w:type="dxa"/>
              <w:left w:w="70" w:type="dxa"/>
              <w:bottom w:w="0" w:type="dxa"/>
              <w:right w:w="70" w:type="dxa"/>
            </w:tcMar>
            <w:vAlign w:val="bottom"/>
          </w:tcPr>
          <w:p w14:paraId="666A1058" w14:textId="77777777" w:rsidR="00162E69" w:rsidRPr="004D17AE" w:rsidRDefault="00162E69">
            <w:pPr>
              <w:overflowPunct/>
              <w:autoSpaceDE/>
              <w:spacing w:line="240" w:lineRule="auto"/>
              <w:jc w:val="left"/>
              <w:textAlignment w:val="auto"/>
              <w:rPr>
                <w:sz w:val="20"/>
              </w:rPr>
            </w:pPr>
            <w:r w:rsidRPr="004D17AE">
              <w:rPr>
                <w:i/>
                <w:iCs/>
                <w:sz w:val="20"/>
              </w:rPr>
              <w:t>T = Capitale di Terzi (Passività a breve + Passività consolidate)</w:t>
            </w:r>
          </w:p>
        </w:tc>
      </w:tr>
      <w:tr w:rsidR="00162E69" w:rsidRPr="004D17AE" w14:paraId="586E2A1D" w14:textId="77777777" w:rsidTr="00162E69">
        <w:trPr>
          <w:gridAfter w:val="1"/>
          <w:wAfter w:w="162" w:type="dxa"/>
          <w:trHeight w:val="255"/>
        </w:trPr>
        <w:tc>
          <w:tcPr>
            <w:tcW w:w="4364" w:type="dxa"/>
            <w:shd w:val="clear" w:color="auto" w:fill="auto"/>
            <w:noWrap/>
            <w:tcMar>
              <w:top w:w="0" w:type="dxa"/>
              <w:left w:w="70" w:type="dxa"/>
              <w:bottom w:w="0" w:type="dxa"/>
              <w:right w:w="70" w:type="dxa"/>
            </w:tcMar>
            <w:vAlign w:val="bottom"/>
          </w:tcPr>
          <w:p w14:paraId="7C2C9C68" w14:textId="77777777" w:rsidR="00162E69" w:rsidRPr="004D17AE" w:rsidRDefault="00162E69">
            <w:pPr>
              <w:overflowPunct/>
              <w:autoSpaceDE/>
              <w:spacing w:line="240" w:lineRule="auto"/>
              <w:jc w:val="left"/>
              <w:textAlignment w:val="auto"/>
              <w:rPr>
                <w:i/>
                <w:iCs/>
                <w:sz w:val="20"/>
              </w:rPr>
            </w:pPr>
            <w:r w:rsidRPr="004D17AE">
              <w:rPr>
                <w:i/>
                <w:iCs/>
                <w:sz w:val="20"/>
              </w:rPr>
              <w:t>Li = Liquidità immediate</w:t>
            </w:r>
          </w:p>
        </w:tc>
        <w:tc>
          <w:tcPr>
            <w:tcW w:w="1452" w:type="dxa"/>
            <w:gridSpan w:val="2"/>
            <w:shd w:val="clear" w:color="auto" w:fill="auto"/>
            <w:noWrap/>
            <w:tcMar>
              <w:top w:w="0" w:type="dxa"/>
              <w:left w:w="70" w:type="dxa"/>
              <w:bottom w:w="0" w:type="dxa"/>
              <w:right w:w="70" w:type="dxa"/>
            </w:tcMar>
            <w:vAlign w:val="bottom"/>
          </w:tcPr>
          <w:p w14:paraId="56793146" w14:textId="77777777" w:rsidR="00162E69" w:rsidRPr="004D17AE" w:rsidRDefault="00162E69">
            <w:pPr>
              <w:overflowPunct/>
              <w:autoSpaceDE/>
              <w:spacing w:line="240" w:lineRule="auto"/>
              <w:jc w:val="left"/>
              <w:textAlignment w:val="auto"/>
              <w:rPr>
                <w:sz w:val="20"/>
              </w:rPr>
            </w:pPr>
          </w:p>
        </w:tc>
        <w:tc>
          <w:tcPr>
            <w:tcW w:w="1457" w:type="dxa"/>
            <w:gridSpan w:val="2"/>
            <w:shd w:val="clear" w:color="auto" w:fill="auto"/>
            <w:noWrap/>
            <w:tcMar>
              <w:top w:w="0" w:type="dxa"/>
              <w:left w:w="70" w:type="dxa"/>
              <w:bottom w:w="0" w:type="dxa"/>
              <w:right w:w="70" w:type="dxa"/>
            </w:tcMar>
            <w:vAlign w:val="bottom"/>
          </w:tcPr>
          <w:p w14:paraId="02642F10" w14:textId="77777777" w:rsidR="00162E69" w:rsidRPr="004D17AE" w:rsidRDefault="00162E69">
            <w:pPr>
              <w:overflowPunct/>
              <w:autoSpaceDE/>
              <w:spacing w:line="240" w:lineRule="auto"/>
              <w:jc w:val="left"/>
              <w:textAlignment w:val="auto"/>
              <w:rPr>
                <w:sz w:val="20"/>
              </w:rPr>
            </w:pPr>
          </w:p>
        </w:tc>
      </w:tr>
      <w:tr w:rsidR="00162E69" w:rsidRPr="004D17AE" w14:paraId="4290D3D8" w14:textId="77777777" w:rsidTr="00162E69">
        <w:trPr>
          <w:gridAfter w:val="1"/>
          <w:wAfter w:w="162" w:type="dxa"/>
          <w:trHeight w:val="255"/>
        </w:trPr>
        <w:tc>
          <w:tcPr>
            <w:tcW w:w="4364" w:type="dxa"/>
            <w:shd w:val="clear" w:color="auto" w:fill="auto"/>
            <w:noWrap/>
            <w:tcMar>
              <w:top w:w="0" w:type="dxa"/>
              <w:left w:w="70" w:type="dxa"/>
              <w:bottom w:w="0" w:type="dxa"/>
              <w:right w:w="70" w:type="dxa"/>
            </w:tcMar>
            <w:vAlign w:val="bottom"/>
          </w:tcPr>
          <w:p w14:paraId="1552884F" w14:textId="77777777" w:rsidR="00162E69" w:rsidRPr="004D17AE" w:rsidRDefault="00162E69">
            <w:pPr>
              <w:overflowPunct/>
              <w:autoSpaceDE/>
              <w:spacing w:line="240" w:lineRule="auto"/>
              <w:jc w:val="left"/>
              <w:textAlignment w:val="auto"/>
              <w:rPr>
                <w:i/>
                <w:iCs/>
                <w:sz w:val="20"/>
              </w:rPr>
            </w:pPr>
            <w:r w:rsidRPr="004D17AE">
              <w:rPr>
                <w:i/>
                <w:iCs/>
                <w:sz w:val="20"/>
              </w:rPr>
              <w:t>Ld = Liquidità differite</w:t>
            </w:r>
          </w:p>
        </w:tc>
        <w:tc>
          <w:tcPr>
            <w:tcW w:w="1452" w:type="dxa"/>
            <w:gridSpan w:val="2"/>
            <w:shd w:val="clear" w:color="auto" w:fill="auto"/>
            <w:noWrap/>
            <w:tcMar>
              <w:top w:w="0" w:type="dxa"/>
              <w:left w:w="70" w:type="dxa"/>
              <w:bottom w:w="0" w:type="dxa"/>
              <w:right w:w="70" w:type="dxa"/>
            </w:tcMar>
            <w:vAlign w:val="bottom"/>
          </w:tcPr>
          <w:p w14:paraId="1A440D27" w14:textId="77777777" w:rsidR="00162E69" w:rsidRPr="004D17AE" w:rsidRDefault="00162E69">
            <w:pPr>
              <w:overflowPunct/>
              <w:autoSpaceDE/>
              <w:spacing w:line="240" w:lineRule="auto"/>
              <w:jc w:val="left"/>
              <w:textAlignment w:val="auto"/>
              <w:rPr>
                <w:sz w:val="20"/>
              </w:rPr>
            </w:pPr>
          </w:p>
        </w:tc>
        <w:tc>
          <w:tcPr>
            <w:tcW w:w="1457" w:type="dxa"/>
            <w:gridSpan w:val="2"/>
            <w:shd w:val="clear" w:color="auto" w:fill="auto"/>
            <w:noWrap/>
            <w:tcMar>
              <w:top w:w="0" w:type="dxa"/>
              <w:left w:w="70" w:type="dxa"/>
              <w:bottom w:w="0" w:type="dxa"/>
              <w:right w:w="70" w:type="dxa"/>
            </w:tcMar>
            <w:vAlign w:val="bottom"/>
          </w:tcPr>
          <w:p w14:paraId="3FB94B76" w14:textId="77777777" w:rsidR="00162E69" w:rsidRPr="004D17AE" w:rsidRDefault="00162E69">
            <w:pPr>
              <w:overflowPunct/>
              <w:autoSpaceDE/>
              <w:spacing w:line="240" w:lineRule="auto"/>
              <w:jc w:val="left"/>
              <w:textAlignment w:val="auto"/>
              <w:rPr>
                <w:sz w:val="20"/>
              </w:rPr>
            </w:pPr>
          </w:p>
        </w:tc>
      </w:tr>
      <w:tr w:rsidR="00162E69" w:rsidRPr="004D17AE" w14:paraId="33C9763F" w14:textId="77777777" w:rsidTr="00162E69">
        <w:trPr>
          <w:gridAfter w:val="1"/>
          <w:wAfter w:w="162" w:type="dxa"/>
          <w:trHeight w:val="255"/>
        </w:trPr>
        <w:tc>
          <w:tcPr>
            <w:tcW w:w="4364" w:type="dxa"/>
            <w:shd w:val="clear" w:color="auto" w:fill="auto"/>
            <w:noWrap/>
            <w:tcMar>
              <w:top w:w="0" w:type="dxa"/>
              <w:left w:w="70" w:type="dxa"/>
              <w:bottom w:w="0" w:type="dxa"/>
              <w:right w:w="70" w:type="dxa"/>
            </w:tcMar>
            <w:vAlign w:val="bottom"/>
          </w:tcPr>
          <w:p w14:paraId="491BE77A" w14:textId="77777777" w:rsidR="00162E69" w:rsidRPr="004D17AE" w:rsidRDefault="00162E69">
            <w:pPr>
              <w:overflowPunct/>
              <w:autoSpaceDE/>
              <w:spacing w:line="240" w:lineRule="auto"/>
              <w:jc w:val="left"/>
              <w:textAlignment w:val="auto"/>
              <w:rPr>
                <w:i/>
                <w:iCs/>
                <w:sz w:val="20"/>
              </w:rPr>
            </w:pPr>
            <w:r w:rsidRPr="004D17AE">
              <w:rPr>
                <w:i/>
                <w:iCs/>
                <w:sz w:val="20"/>
              </w:rPr>
              <w:t>Pc = Passività correnti</w:t>
            </w:r>
          </w:p>
        </w:tc>
        <w:tc>
          <w:tcPr>
            <w:tcW w:w="1452" w:type="dxa"/>
            <w:gridSpan w:val="2"/>
            <w:shd w:val="clear" w:color="auto" w:fill="auto"/>
            <w:noWrap/>
            <w:tcMar>
              <w:top w:w="0" w:type="dxa"/>
              <w:left w:w="70" w:type="dxa"/>
              <w:bottom w:w="0" w:type="dxa"/>
              <w:right w:w="70" w:type="dxa"/>
            </w:tcMar>
            <w:vAlign w:val="bottom"/>
          </w:tcPr>
          <w:p w14:paraId="4E8BFD46" w14:textId="77777777" w:rsidR="00162E69" w:rsidRPr="004D17AE" w:rsidRDefault="00162E69">
            <w:pPr>
              <w:overflowPunct/>
              <w:autoSpaceDE/>
              <w:spacing w:line="240" w:lineRule="auto"/>
              <w:jc w:val="left"/>
              <w:textAlignment w:val="auto"/>
              <w:rPr>
                <w:sz w:val="20"/>
              </w:rPr>
            </w:pPr>
          </w:p>
        </w:tc>
        <w:tc>
          <w:tcPr>
            <w:tcW w:w="1457" w:type="dxa"/>
            <w:gridSpan w:val="2"/>
            <w:shd w:val="clear" w:color="auto" w:fill="auto"/>
            <w:noWrap/>
            <w:tcMar>
              <w:top w:w="0" w:type="dxa"/>
              <w:left w:w="70" w:type="dxa"/>
              <w:bottom w:w="0" w:type="dxa"/>
              <w:right w:w="70" w:type="dxa"/>
            </w:tcMar>
            <w:vAlign w:val="bottom"/>
          </w:tcPr>
          <w:p w14:paraId="6B804AFB" w14:textId="77777777" w:rsidR="00162E69" w:rsidRPr="004D17AE" w:rsidRDefault="00162E69">
            <w:pPr>
              <w:overflowPunct/>
              <w:autoSpaceDE/>
              <w:spacing w:line="240" w:lineRule="auto"/>
              <w:jc w:val="left"/>
              <w:textAlignment w:val="auto"/>
              <w:rPr>
                <w:sz w:val="20"/>
              </w:rPr>
            </w:pPr>
          </w:p>
        </w:tc>
      </w:tr>
    </w:tbl>
    <w:p w14:paraId="52CA1A7D" w14:textId="77777777" w:rsidR="005220D2" w:rsidRDefault="007A19A9" w:rsidP="004D17AE">
      <w:pPr>
        <w:pStyle w:val="Corpodeltesto2"/>
        <w:keepNext w:val="0"/>
        <w:pBdr>
          <w:top w:val="none" w:sz="0" w:space="0" w:color="auto"/>
          <w:left w:val="none" w:sz="0" w:space="0" w:color="auto"/>
          <w:bottom w:val="none" w:sz="0" w:space="0" w:color="auto"/>
          <w:right w:val="none" w:sz="0" w:space="0" w:color="auto"/>
        </w:pBdr>
        <w:textAlignment w:val="baseline"/>
        <w:rPr>
          <w:b w:val="0"/>
          <w:bCs w:val="0"/>
          <w:smallCaps w:val="0"/>
          <w:szCs w:val="24"/>
        </w:rPr>
      </w:pPr>
      <w:r w:rsidRPr="00162E69">
        <w:rPr>
          <w:b w:val="0"/>
          <w:bCs w:val="0"/>
          <w:smallCaps w:val="0"/>
          <w:szCs w:val="24"/>
        </w:rPr>
        <w:t>Da ultimo si riporta, infine, l’indicazione della misura del capitale investito netto (CIN), nonché delle fonti di finanziamento del medesimo e della posizione finanziaria netta.</w:t>
      </w:r>
    </w:p>
    <w:p w14:paraId="2E6711D1" w14:textId="77777777" w:rsidR="005C7D76" w:rsidRPr="004D17AE" w:rsidRDefault="005C7D76" w:rsidP="005C7D76">
      <w:pPr>
        <w:pStyle w:val="Corpodeltesto2"/>
        <w:keepNext w:val="0"/>
        <w:pBdr>
          <w:top w:val="none" w:sz="0" w:space="0" w:color="auto"/>
          <w:left w:val="none" w:sz="0" w:space="0" w:color="auto"/>
          <w:bottom w:val="none" w:sz="0" w:space="0" w:color="auto"/>
          <w:right w:val="none" w:sz="0" w:space="0" w:color="auto"/>
        </w:pBdr>
        <w:jc w:val="right"/>
        <w:textAlignment w:val="baseline"/>
        <w:rPr>
          <w:b w:val="0"/>
          <w:bCs w:val="0"/>
          <w:smallCaps w:val="0"/>
          <w:sz w:val="20"/>
        </w:rPr>
      </w:pPr>
      <w:r w:rsidRPr="004D17AE">
        <w:rPr>
          <w:b w:val="0"/>
          <w:bCs w:val="0"/>
          <w:smallCaps w:val="0"/>
          <w:sz w:val="20"/>
        </w:rPr>
        <w:t>(importi in migliaia di euro)</w:t>
      </w:r>
    </w:p>
    <w:tbl>
      <w:tblPr>
        <w:tblW w:w="7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11"/>
        <w:gridCol w:w="1014"/>
        <w:gridCol w:w="1014"/>
        <w:gridCol w:w="1232"/>
      </w:tblGrid>
      <w:tr w:rsidR="00162E69" w:rsidRPr="004D17AE" w14:paraId="09E38511" w14:textId="77777777" w:rsidTr="004D17AE">
        <w:trPr>
          <w:cantSplit/>
          <w:trHeight w:val="487"/>
          <w:tblHeader/>
        </w:trPr>
        <w:tc>
          <w:tcPr>
            <w:tcW w:w="4111" w:type="dxa"/>
            <w:shd w:val="clear" w:color="auto" w:fill="D0CECE" w:themeFill="background2" w:themeFillShade="E6"/>
            <w:noWrap/>
            <w:vAlign w:val="bottom"/>
            <w:hideMark/>
          </w:tcPr>
          <w:p w14:paraId="432341B0" w14:textId="77777777" w:rsidR="000A3AFE" w:rsidRPr="004D17AE" w:rsidRDefault="005C7D76" w:rsidP="005C7D76">
            <w:pPr>
              <w:overflowPunct/>
              <w:autoSpaceDE/>
              <w:spacing w:line="240" w:lineRule="auto"/>
              <w:jc w:val="center"/>
              <w:textAlignment w:val="auto"/>
              <w:rPr>
                <w:b/>
                <w:bCs/>
                <w:sz w:val="20"/>
              </w:rPr>
            </w:pPr>
            <w:r w:rsidRPr="004D17AE">
              <w:rPr>
                <w:b/>
                <w:bCs/>
                <w:sz w:val="20"/>
              </w:rPr>
              <w:t>Descrizione</w:t>
            </w:r>
          </w:p>
        </w:tc>
        <w:tc>
          <w:tcPr>
            <w:tcW w:w="1014" w:type="dxa"/>
            <w:shd w:val="clear" w:color="auto" w:fill="D0CECE" w:themeFill="background2" w:themeFillShade="E6"/>
            <w:noWrap/>
            <w:vAlign w:val="bottom"/>
            <w:hideMark/>
          </w:tcPr>
          <w:p w14:paraId="3A9BD0B5" w14:textId="77777777" w:rsidR="000A3AFE" w:rsidRPr="004D17AE" w:rsidRDefault="000A3AFE" w:rsidP="005C7D76">
            <w:pPr>
              <w:overflowPunct/>
              <w:autoSpaceDE/>
              <w:spacing w:line="240" w:lineRule="auto"/>
              <w:jc w:val="center"/>
              <w:textAlignment w:val="auto"/>
              <w:rPr>
                <w:b/>
                <w:bCs/>
                <w:sz w:val="20"/>
              </w:rPr>
            </w:pPr>
            <w:r w:rsidRPr="004D17AE">
              <w:rPr>
                <w:b/>
                <w:bCs/>
                <w:sz w:val="20"/>
              </w:rPr>
              <w:t>2021</w:t>
            </w:r>
          </w:p>
        </w:tc>
        <w:tc>
          <w:tcPr>
            <w:tcW w:w="1014" w:type="dxa"/>
            <w:shd w:val="clear" w:color="auto" w:fill="D0CECE" w:themeFill="background2" w:themeFillShade="E6"/>
            <w:noWrap/>
            <w:vAlign w:val="bottom"/>
            <w:hideMark/>
          </w:tcPr>
          <w:p w14:paraId="06A28C72" w14:textId="77777777" w:rsidR="000A3AFE" w:rsidRPr="004D17AE" w:rsidRDefault="000A3AFE" w:rsidP="005C7D76">
            <w:pPr>
              <w:overflowPunct/>
              <w:autoSpaceDE/>
              <w:spacing w:line="240" w:lineRule="auto"/>
              <w:jc w:val="center"/>
              <w:textAlignment w:val="auto"/>
              <w:rPr>
                <w:b/>
                <w:bCs/>
                <w:sz w:val="20"/>
              </w:rPr>
            </w:pPr>
            <w:r w:rsidRPr="004D17AE">
              <w:rPr>
                <w:b/>
                <w:bCs/>
                <w:sz w:val="20"/>
              </w:rPr>
              <w:t>2020</w:t>
            </w:r>
          </w:p>
        </w:tc>
        <w:tc>
          <w:tcPr>
            <w:tcW w:w="1232" w:type="dxa"/>
            <w:shd w:val="clear" w:color="auto" w:fill="D0CECE" w:themeFill="background2" w:themeFillShade="E6"/>
            <w:noWrap/>
            <w:vAlign w:val="bottom"/>
            <w:hideMark/>
          </w:tcPr>
          <w:p w14:paraId="24F298FA" w14:textId="77777777" w:rsidR="000A3AFE" w:rsidRPr="004D17AE" w:rsidRDefault="000A3AFE" w:rsidP="005C7D76">
            <w:pPr>
              <w:overflowPunct/>
              <w:autoSpaceDE/>
              <w:spacing w:line="240" w:lineRule="auto"/>
              <w:jc w:val="center"/>
              <w:textAlignment w:val="auto"/>
              <w:rPr>
                <w:b/>
                <w:bCs/>
                <w:sz w:val="20"/>
              </w:rPr>
            </w:pPr>
            <w:r w:rsidRPr="004D17AE">
              <w:rPr>
                <w:b/>
                <w:bCs/>
                <w:sz w:val="20"/>
              </w:rPr>
              <w:t>differenza</w:t>
            </w:r>
          </w:p>
        </w:tc>
      </w:tr>
      <w:tr w:rsidR="00162E69" w:rsidRPr="004D17AE" w14:paraId="445573D8" w14:textId="77777777" w:rsidTr="005C7D76">
        <w:trPr>
          <w:trHeight w:val="270"/>
        </w:trPr>
        <w:tc>
          <w:tcPr>
            <w:tcW w:w="4111" w:type="dxa"/>
            <w:shd w:val="clear" w:color="auto" w:fill="auto"/>
            <w:noWrap/>
            <w:vAlign w:val="bottom"/>
            <w:hideMark/>
          </w:tcPr>
          <w:p w14:paraId="78749345"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Rimanenze</w:t>
            </w:r>
          </w:p>
        </w:tc>
        <w:tc>
          <w:tcPr>
            <w:tcW w:w="1014" w:type="dxa"/>
            <w:shd w:val="clear" w:color="auto" w:fill="auto"/>
            <w:noWrap/>
            <w:vAlign w:val="bottom"/>
            <w:hideMark/>
          </w:tcPr>
          <w:p w14:paraId="2B42C3D1"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xml:space="preserve">       12.832 </w:t>
            </w:r>
          </w:p>
        </w:tc>
        <w:tc>
          <w:tcPr>
            <w:tcW w:w="1014" w:type="dxa"/>
            <w:shd w:val="clear" w:color="auto" w:fill="auto"/>
            <w:noWrap/>
            <w:vAlign w:val="bottom"/>
            <w:hideMark/>
          </w:tcPr>
          <w:p w14:paraId="3B5EE53E"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xml:space="preserve">       13.045 </w:t>
            </w:r>
          </w:p>
        </w:tc>
        <w:tc>
          <w:tcPr>
            <w:tcW w:w="1232" w:type="dxa"/>
            <w:shd w:val="clear" w:color="auto" w:fill="auto"/>
            <w:noWrap/>
            <w:vAlign w:val="bottom"/>
            <w:hideMark/>
          </w:tcPr>
          <w:p w14:paraId="428D5DD4"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xml:space="preserve">           (213)</w:t>
            </w:r>
          </w:p>
        </w:tc>
      </w:tr>
      <w:tr w:rsidR="00162E69" w:rsidRPr="004D17AE" w14:paraId="4A75BFC8" w14:textId="77777777" w:rsidTr="005C7D76">
        <w:trPr>
          <w:trHeight w:val="270"/>
        </w:trPr>
        <w:tc>
          <w:tcPr>
            <w:tcW w:w="4111" w:type="dxa"/>
            <w:shd w:val="clear" w:color="auto" w:fill="auto"/>
            <w:noWrap/>
            <w:vAlign w:val="bottom"/>
            <w:hideMark/>
          </w:tcPr>
          <w:p w14:paraId="1D49F98A"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crediti commerciali</w:t>
            </w:r>
          </w:p>
        </w:tc>
        <w:tc>
          <w:tcPr>
            <w:tcW w:w="1014" w:type="dxa"/>
            <w:shd w:val="clear" w:color="auto" w:fill="auto"/>
            <w:noWrap/>
            <w:vAlign w:val="bottom"/>
            <w:hideMark/>
          </w:tcPr>
          <w:p w14:paraId="39F6F554"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xml:space="preserve">       33.252 </w:t>
            </w:r>
          </w:p>
        </w:tc>
        <w:tc>
          <w:tcPr>
            <w:tcW w:w="1014" w:type="dxa"/>
            <w:shd w:val="clear" w:color="auto" w:fill="auto"/>
            <w:noWrap/>
            <w:vAlign w:val="bottom"/>
            <w:hideMark/>
          </w:tcPr>
          <w:p w14:paraId="522E7B52"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xml:space="preserve">       33.924 </w:t>
            </w:r>
          </w:p>
        </w:tc>
        <w:tc>
          <w:tcPr>
            <w:tcW w:w="1232" w:type="dxa"/>
            <w:shd w:val="clear" w:color="auto" w:fill="auto"/>
            <w:noWrap/>
            <w:vAlign w:val="bottom"/>
            <w:hideMark/>
          </w:tcPr>
          <w:p w14:paraId="5C3DD087"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xml:space="preserve">           (672)</w:t>
            </w:r>
          </w:p>
        </w:tc>
      </w:tr>
      <w:tr w:rsidR="00162E69" w:rsidRPr="004D17AE" w14:paraId="2C5F65A5" w14:textId="77777777" w:rsidTr="005C7D76">
        <w:trPr>
          <w:trHeight w:val="270"/>
        </w:trPr>
        <w:tc>
          <w:tcPr>
            <w:tcW w:w="4111" w:type="dxa"/>
            <w:shd w:val="clear" w:color="auto" w:fill="auto"/>
            <w:noWrap/>
            <w:vAlign w:val="bottom"/>
            <w:hideMark/>
          </w:tcPr>
          <w:p w14:paraId="224B3559"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xml:space="preserve">- fondo svalutazione crediti </w:t>
            </w:r>
          </w:p>
        </w:tc>
        <w:tc>
          <w:tcPr>
            <w:tcW w:w="1014" w:type="dxa"/>
            <w:shd w:val="clear" w:color="auto" w:fill="auto"/>
            <w:noWrap/>
            <w:vAlign w:val="bottom"/>
            <w:hideMark/>
          </w:tcPr>
          <w:p w14:paraId="3A4A5B11"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xml:space="preserve">                 (32)</w:t>
            </w:r>
          </w:p>
        </w:tc>
        <w:tc>
          <w:tcPr>
            <w:tcW w:w="1014" w:type="dxa"/>
            <w:shd w:val="clear" w:color="auto" w:fill="auto"/>
            <w:noWrap/>
            <w:vAlign w:val="bottom"/>
            <w:hideMark/>
          </w:tcPr>
          <w:p w14:paraId="51947CCE"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xml:space="preserve">             (32)</w:t>
            </w:r>
          </w:p>
        </w:tc>
        <w:tc>
          <w:tcPr>
            <w:tcW w:w="1232" w:type="dxa"/>
            <w:shd w:val="clear" w:color="auto" w:fill="auto"/>
            <w:noWrap/>
            <w:vAlign w:val="bottom"/>
            <w:hideMark/>
          </w:tcPr>
          <w:p w14:paraId="4884DEAD"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xml:space="preserve">                 - </w:t>
            </w:r>
          </w:p>
        </w:tc>
      </w:tr>
      <w:tr w:rsidR="00162E69" w:rsidRPr="004D17AE" w14:paraId="7F9842BC" w14:textId="77777777" w:rsidTr="005C7D76">
        <w:trPr>
          <w:trHeight w:val="270"/>
        </w:trPr>
        <w:tc>
          <w:tcPr>
            <w:tcW w:w="4111" w:type="dxa"/>
            <w:shd w:val="clear" w:color="auto" w:fill="auto"/>
            <w:noWrap/>
            <w:vAlign w:val="bottom"/>
            <w:hideMark/>
          </w:tcPr>
          <w:p w14:paraId="62CB39C4"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Debiti commerciali e acconti</w:t>
            </w:r>
          </w:p>
        </w:tc>
        <w:tc>
          <w:tcPr>
            <w:tcW w:w="1014" w:type="dxa"/>
            <w:shd w:val="clear" w:color="auto" w:fill="auto"/>
            <w:noWrap/>
            <w:vAlign w:val="bottom"/>
            <w:hideMark/>
          </w:tcPr>
          <w:p w14:paraId="2973F157"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xml:space="preserve">      (13.868)</w:t>
            </w:r>
          </w:p>
        </w:tc>
        <w:tc>
          <w:tcPr>
            <w:tcW w:w="1014" w:type="dxa"/>
            <w:shd w:val="clear" w:color="auto" w:fill="auto"/>
            <w:noWrap/>
            <w:vAlign w:val="bottom"/>
            <w:hideMark/>
          </w:tcPr>
          <w:p w14:paraId="5FFE67FA"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xml:space="preserve">      (20.405)</w:t>
            </w:r>
          </w:p>
        </w:tc>
        <w:tc>
          <w:tcPr>
            <w:tcW w:w="1232" w:type="dxa"/>
            <w:shd w:val="clear" w:color="auto" w:fill="auto"/>
            <w:noWrap/>
            <w:vAlign w:val="bottom"/>
            <w:hideMark/>
          </w:tcPr>
          <w:p w14:paraId="3DE7C5B3"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xml:space="preserve">         6.537 </w:t>
            </w:r>
          </w:p>
        </w:tc>
      </w:tr>
      <w:tr w:rsidR="00162E69" w:rsidRPr="004D17AE" w14:paraId="1AE390A7" w14:textId="77777777" w:rsidTr="005C7D76">
        <w:trPr>
          <w:trHeight w:val="270"/>
        </w:trPr>
        <w:tc>
          <w:tcPr>
            <w:tcW w:w="4111" w:type="dxa"/>
            <w:shd w:val="clear" w:color="auto" w:fill="auto"/>
            <w:noWrap/>
            <w:vAlign w:val="bottom"/>
            <w:hideMark/>
          </w:tcPr>
          <w:p w14:paraId="0F4516EB"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lastRenderedPageBreak/>
              <w:t>- Fondo TFR</w:t>
            </w:r>
          </w:p>
        </w:tc>
        <w:tc>
          <w:tcPr>
            <w:tcW w:w="1014" w:type="dxa"/>
            <w:shd w:val="clear" w:color="auto" w:fill="auto"/>
            <w:noWrap/>
            <w:vAlign w:val="bottom"/>
            <w:hideMark/>
          </w:tcPr>
          <w:p w14:paraId="688CE925"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xml:space="preserve">             (68)</w:t>
            </w:r>
          </w:p>
        </w:tc>
        <w:tc>
          <w:tcPr>
            <w:tcW w:w="1014" w:type="dxa"/>
            <w:shd w:val="clear" w:color="auto" w:fill="auto"/>
            <w:noWrap/>
            <w:vAlign w:val="bottom"/>
            <w:hideMark/>
          </w:tcPr>
          <w:p w14:paraId="00D91DFE"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xml:space="preserve">             (66)</w:t>
            </w:r>
          </w:p>
        </w:tc>
        <w:tc>
          <w:tcPr>
            <w:tcW w:w="1232" w:type="dxa"/>
            <w:shd w:val="clear" w:color="auto" w:fill="auto"/>
            <w:noWrap/>
            <w:vAlign w:val="bottom"/>
            <w:hideMark/>
          </w:tcPr>
          <w:p w14:paraId="24603BD1"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xml:space="preserve">               (2)</w:t>
            </w:r>
          </w:p>
        </w:tc>
      </w:tr>
      <w:tr w:rsidR="00162E69" w:rsidRPr="004D17AE" w14:paraId="28760732" w14:textId="77777777" w:rsidTr="005C7D76">
        <w:trPr>
          <w:trHeight w:val="270"/>
        </w:trPr>
        <w:tc>
          <w:tcPr>
            <w:tcW w:w="4111" w:type="dxa"/>
            <w:shd w:val="clear" w:color="auto" w:fill="auto"/>
            <w:noWrap/>
            <w:vAlign w:val="bottom"/>
            <w:hideMark/>
          </w:tcPr>
          <w:p w14:paraId="27311FD6"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Altre attività / (passività) a breve non onerose</w:t>
            </w:r>
          </w:p>
        </w:tc>
        <w:tc>
          <w:tcPr>
            <w:tcW w:w="1014" w:type="dxa"/>
            <w:shd w:val="clear" w:color="auto" w:fill="auto"/>
            <w:noWrap/>
            <w:vAlign w:val="bottom"/>
            <w:hideMark/>
          </w:tcPr>
          <w:p w14:paraId="229F29AD"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xml:space="preserve">        (1.060)</w:t>
            </w:r>
          </w:p>
        </w:tc>
        <w:tc>
          <w:tcPr>
            <w:tcW w:w="1014" w:type="dxa"/>
            <w:shd w:val="clear" w:color="auto" w:fill="auto"/>
            <w:noWrap/>
            <w:vAlign w:val="bottom"/>
            <w:hideMark/>
          </w:tcPr>
          <w:p w14:paraId="4F0E9445"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xml:space="preserve">           (298)</w:t>
            </w:r>
          </w:p>
        </w:tc>
        <w:tc>
          <w:tcPr>
            <w:tcW w:w="1232" w:type="dxa"/>
            <w:shd w:val="clear" w:color="auto" w:fill="auto"/>
            <w:noWrap/>
            <w:vAlign w:val="bottom"/>
            <w:hideMark/>
          </w:tcPr>
          <w:p w14:paraId="7D5B0905"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xml:space="preserve">           (762)</w:t>
            </w:r>
          </w:p>
        </w:tc>
      </w:tr>
      <w:tr w:rsidR="00162E69" w:rsidRPr="004D17AE" w14:paraId="6049DAEB" w14:textId="77777777" w:rsidTr="005C7D76">
        <w:trPr>
          <w:trHeight w:val="285"/>
        </w:trPr>
        <w:tc>
          <w:tcPr>
            <w:tcW w:w="4111" w:type="dxa"/>
            <w:shd w:val="clear" w:color="auto" w:fill="auto"/>
            <w:noWrap/>
            <w:vAlign w:val="bottom"/>
            <w:hideMark/>
          </w:tcPr>
          <w:p w14:paraId="52FEBEBD" w14:textId="77777777" w:rsidR="000A3AFE" w:rsidRPr="004D17AE" w:rsidRDefault="000A3AFE" w:rsidP="000A3AFE">
            <w:pPr>
              <w:widowControl/>
              <w:suppressAutoHyphens w:val="0"/>
              <w:overflowPunct/>
              <w:autoSpaceDE/>
              <w:autoSpaceDN/>
              <w:spacing w:line="240" w:lineRule="auto"/>
              <w:jc w:val="left"/>
              <w:textAlignment w:val="auto"/>
              <w:rPr>
                <w:b/>
                <w:bCs/>
                <w:i/>
                <w:iCs/>
                <w:sz w:val="20"/>
              </w:rPr>
            </w:pPr>
            <w:r w:rsidRPr="004D17AE">
              <w:rPr>
                <w:b/>
                <w:bCs/>
                <w:i/>
                <w:iCs/>
                <w:sz w:val="20"/>
              </w:rPr>
              <w:t>= Capitale Circolante Netto</w:t>
            </w:r>
          </w:p>
        </w:tc>
        <w:tc>
          <w:tcPr>
            <w:tcW w:w="1014" w:type="dxa"/>
            <w:shd w:val="clear" w:color="auto" w:fill="auto"/>
            <w:noWrap/>
            <w:vAlign w:val="bottom"/>
            <w:hideMark/>
          </w:tcPr>
          <w:p w14:paraId="11E82DA2" w14:textId="77777777" w:rsidR="000A3AFE" w:rsidRPr="004D17AE" w:rsidRDefault="000A3AFE" w:rsidP="000A3AFE">
            <w:pPr>
              <w:widowControl/>
              <w:suppressAutoHyphens w:val="0"/>
              <w:overflowPunct/>
              <w:autoSpaceDE/>
              <w:autoSpaceDN/>
              <w:spacing w:line="240" w:lineRule="auto"/>
              <w:jc w:val="left"/>
              <w:textAlignment w:val="auto"/>
              <w:rPr>
                <w:b/>
                <w:bCs/>
                <w:i/>
                <w:iCs/>
                <w:sz w:val="20"/>
              </w:rPr>
            </w:pPr>
            <w:r w:rsidRPr="004D17AE">
              <w:rPr>
                <w:b/>
                <w:bCs/>
                <w:i/>
                <w:iCs/>
                <w:sz w:val="20"/>
              </w:rPr>
              <w:t xml:space="preserve"> 31.056 </w:t>
            </w:r>
          </w:p>
        </w:tc>
        <w:tc>
          <w:tcPr>
            <w:tcW w:w="1014" w:type="dxa"/>
            <w:shd w:val="clear" w:color="auto" w:fill="auto"/>
            <w:noWrap/>
            <w:vAlign w:val="bottom"/>
            <w:hideMark/>
          </w:tcPr>
          <w:p w14:paraId="132B5295" w14:textId="77777777" w:rsidR="000A3AFE" w:rsidRPr="004D17AE" w:rsidRDefault="000A3AFE" w:rsidP="000A3AFE">
            <w:pPr>
              <w:widowControl/>
              <w:suppressAutoHyphens w:val="0"/>
              <w:overflowPunct/>
              <w:autoSpaceDE/>
              <w:autoSpaceDN/>
              <w:spacing w:line="240" w:lineRule="auto"/>
              <w:jc w:val="left"/>
              <w:textAlignment w:val="auto"/>
              <w:rPr>
                <w:b/>
                <w:bCs/>
                <w:i/>
                <w:iCs/>
                <w:sz w:val="20"/>
              </w:rPr>
            </w:pPr>
            <w:r w:rsidRPr="004D17AE">
              <w:rPr>
                <w:b/>
                <w:bCs/>
                <w:i/>
                <w:iCs/>
                <w:sz w:val="20"/>
              </w:rPr>
              <w:t xml:space="preserve">20.746 </w:t>
            </w:r>
          </w:p>
        </w:tc>
        <w:tc>
          <w:tcPr>
            <w:tcW w:w="1232" w:type="dxa"/>
            <w:shd w:val="clear" w:color="auto" w:fill="auto"/>
            <w:noWrap/>
            <w:vAlign w:val="bottom"/>
            <w:hideMark/>
          </w:tcPr>
          <w:p w14:paraId="000BD07C" w14:textId="77777777" w:rsidR="000A3AFE" w:rsidRPr="004D17AE" w:rsidRDefault="000A3AFE" w:rsidP="000A3AFE">
            <w:pPr>
              <w:widowControl/>
              <w:suppressAutoHyphens w:val="0"/>
              <w:overflowPunct/>
              <w:autoSpaceDE/>
              <w:autoSpaceDN/>
              <w:spacing w:line="240" w:lineRule="auto"/>
              <w:jc w:val="left"/>
              <w:textAlignment w:val="auto"/>
              <w:rPr>
                <w:b/>
                <w:bCs/>
                <w:i/>
                <w:iCs/>
                <w:sz w:val="20"/>
              </w:rPr>
            </w:pPr>
            <w:r w:rsidRPr="004D17AE">
              <w:rPr>
                <w:b/>
                <w:bCs/>
                <w:i/>
                <w:iCs/>
                <w:sz w:val="20"/>
              </w:rPr>
              <w:t xml:space="preserve">10.310 </w:t>
            </w:r>
          </w:p>
        </w:tc>
      </w:tr>
      <w:tr w:rsidR="00162E69" w:rsidRPr="004D17AE" w14:paraId="52D932F8" w14:textId="77777777" w:rsidTr="005C7D76">
        <w:trPr>
          <w:trHeight w:val="270"/>
        </w:trPr>
        <w:tc>
          <w:tcPr>
            <w:tcW w:w="4111" w:type="dxa"/>
            <w:shd w:val="clear" w:color="auto" w:fill="auto"/>
            <w:noWrap/>
            <w:vAlign w:val="bottom"/>
            <w:hideMark/>
          </w:tcPr>
          <w:p w14:paraId="0C605A38"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xml:space="preserve">Attività fisse </w:t>
            </w:r>
          </w:p>
        </w:tc>
        <w:tc>
          <w:tcPr>
            <w:tcW w:w="1014" w:type="dxa"/>
            <w:shd w:val="clear" w:color="auto" w:fill="auto"/>
            <w:noWrap/>
            <w:vAlign w:val="bottom"/>
            <w:hideMark/>
          </w:tcPr>
          <w:p w14:paraId="6771C639"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xml:space="preserve">         1.844 </w:t>
            </w:r>
          </w:p>
        </w:tc>
        <w:tc>
          <w:tcPr>
            <w:tcW w:w="1014" w:type="dxa"/>
            <w:shd w:val="clear" w:color="auto" w:fill="auto"/>
            <w:noWrap/>
            <w:vAlign w:val="bottom"/>
            <w:hideMark/>
          </w:tcPr>
          <w:p w14:paraId="12CE552C"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xml:space="preserve">         2.323 </w:t>
            </w:r>
          </w:p>
        </w:tc>
        <w:tc>
          <w:tcPr>
            <w:tcW w:w="1232" w:type="dxa"/>
            <w:shd w:val="clear" w:color="auto" w:fill="auto"/>
            <w:noWrap/>
            <w:vAlign w:val="bottom"/>
            <w:hideMark/>
          </w:tcPr>
          <w:p w14:paraId="10A63202"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xml:space="preserve">           (479)</w:t>
            </w:r>
          </w:p>
        </w:tc>
      </w:tr>
      <w:tr w:rsidR="00162E69" w:rsidRPr="004D17AE" w14:paraId="62079EFA" w14:textId="77777777" w:rsidTr="005C7D76">
        <w:trPr>
          <w:trHeight w:val="270"/>
        </w:trPr>
        <w:tc>
          <w:tcPr>
            <w:tcW w:w="4111" w:type="dxa"/>
            <w:shd w:val="clear" w:color="auto" w:fill="auto"/>
            <w:noWrap/>
            <w:vAlign w:val="bottom"/>
            <w:hideMark/>
          </w:tcPr>
          <w:p w14:paraId="71852F6E"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Attività immateriali</w:t>
            </w:r>
          </w:p>
        </w:tc>
        <w:tc>
          <w:tcPr>
            <w:tcW w:w="1014" w:type="dxa"/>
            <w:shd w:val="clear" w:color="auto" w:fill="auto"/>
            <w:noWrap/>
            <w:vAlign w:val="bottom"/>
            <w:hideMark/>
          </w:tcPr>
          <w:p w14:paraId="1D7978E9"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xml:space="preserve">            363 </w:t>
            </w:r>
          </w:p>
        </w:tc>
        <w:tc>
          <w:tcPr>
            <w:tcW w:w="1014" w:type="dxa"/>
            <w:shd w:val="clear" w:color="auto" w:fill="auto"/>
            <w:noWrap/>
            <w:vAlign w:val="bottom"/>
            <w:hideMark/>
          </w:tcPr>
          <w:p w14:paraId="5820567D"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xml:space="preserve">            421 </w:t>
            </w:r>
          </w:p>
        </w:tc>
        <w:tc>
          <w:tcPr>
            <w:tcW w:w="1232" w:type="dxa"/>
            <w:shd w:val="clear" w:color="auto" w:fill="auto"/>
            <w:noWrap/>
            <w:vAlign w:val="bottom"/>
            <w:hideMark/>
          </w:tcPr>
          <w:p w14:paraId="6BA2DD10"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xml:space="preserve">             (58)</w:t>
            </w:r>
          </w:p>
        </w:tc>
      </w:tr>
      <w:tr w:rsidR="00162E69" w:rsidRPr="004D17AE" w14:paraId="3CDFB4F8" w14:textId="77777777" w:rsidTr="005C7D76">
        <w:trPr>
          <w:trHeight w:val="270"/>
        </w:trPr>
        <w:tc>
          <w:tcPr>
            <w:tcW w:w="4111" w:type="dxa"/>
            <w:shd w:val="clear" w:color="auto" w:fill="auto"/>
            <w:noWrap/>
            <w:vAlign w:val="bottom"/>
            <w:hideMark/>
          </w:tcPr>
          <w:p w14:paraId="596AD9E0"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Attività finanziarie</w:t>
            </w:r>
          </w:p>
        </w:tc>
        <w:tc>
          <w:tcPr>
            <w:tcW w:w="1014" w:type="dxa"/>
            <w:shd w:val="clear" w:color="auto" w:fill="auto"/>
            <w:noWrap/>
            <w:vAlign w:val="bottom"/>
            <w:hideMark/>
          </w:tcPr>
          <w:p w14:paraId="73354648"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xml:space="preserve">            732 </w:t>
            </w:r>
          </w:p>
        </w:tc>
        <w:tc>
          <w:tcPr>
            <w:tcW w:w="1014" w:type="dxa"/>
            <w:shd w:val="clear" w:color="auto" w:fill="auto"/>
            <w:noWrap/>
            <w:vAlign w:val="bottom"/>
            <w:hideMark/>
          </w:tcPr>
          <w:p w14:paraId="5DD6252D"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xml:space="preserve">            732 </w:t>
            </w:r>
          </w:p>
        </w:tc>
        <w:tc>
          <w:tcPr>
            <w:tcW w:w="1232" w:type="dxa"/>
            <w:shd w:val="clear" w:color="auto" w:fill="auto"/>
            <w:noWrap/>
            <w:vAlign w:val="bottom"/>
            <w:hideMark/>
          </w:tcPr>
          <w:p w14:paraId="7B5D1446"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xml:space="preserve">                 - </w:t>
            </w:r>
          </w:p>
        </w:tc>
      </w:tr>
      <w:tr w:rsidR="00162E69" w:rsidRPr="004D17AE" w14:paraId="671D874F" w14:textId="77777777" w:rsidTr="005C7D76">
        <w:trPr>
          <w:trHeight w:val="270"/>
        </w:trPr>
        <w:tc>
          <w:tcPr>
            <w:tcW w:w="4111" w:type="dxa"/>
            <w:shd w:val="clear" w:color="auto" w:fill="auto"/>
            <w:noWrap/>
            <w:vAlign w:val="bottom"/>
            <w:hideMark/>
          </w:tcPr>
          <w:p w14:paraId="6D2E6B87"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(Fondo oneri)</w:t>
            </w:r>
          </w:p>
        </w:tc>
        <w:tc>
          <w:tcPr>
            <w:tcW w:w="1014" w:type="dxa"/>
            <w:shd w:val="clear" w:color="auto" w:fill="auto"/>
            <w:noWrap/>
            <w:vAlign w:val="bottom"/>
            <w:hideMark/>
          </w:tcPr>
          <w:p w14:paraId="28E0074A"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xml:space="preserve">           (133)</w:t>
            </w:r>
          </w:p>
        </w:tc>
        <w:tc>
          <w:tcPr>
            <w:tcW w:w="1014" w:type="dxa"/>
            <w:shd w:val="clear" w:color="auto" w:fill="auto"/>
            <w:noWrap/>
            <w:vAlign w:val="bottom"/>
            <w:hideMark/>
          </w:tcPr>
          <w:p w14:paraId="3584756E"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xml:space="preserve">                 - </w:t>
            </w:r>
          </w:p>
        </w:tc>
        <w:tc>
          <w:tcPr>
            <w:tcW w:w="1232" w:type="dxa"/>
            <w:shd w:val="clear" w:color="auto" w:fill="auto"/>
            <w:noWrap/>
            <w:vAlign w:val="bottom"/>
            <w:hideMark/>
          </w:tcPr>
          <w:p w14:paraId="3599C4BE"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xml:space="preserve">           (133)</w:t>
            </w:r>
          </w:p>
        </w:tc>
      </w:tr>
      <w:tr w:rsidR="00162E69" w:rsidRPr="004D17AE" w14:paraId="6A9E16EF" w14:textId="77777777" w:rsidTr="005C7D76">
        <w:trPr>
          <w:trHeight w:val="270"/>
        </w:trPr>
        <w:tc>
          <w:tcPr>
            <w:tcW w:w="4111" w:type="dxa"/>
            <w:shd w:val="clear" w:color="auto" w:fill="auto"/>
            <w:noWrap/>
            <w:vAlign w:val="bottom"/>
            <w:hideMark/>
          </w:tcPr>
          <w:p w14:paraId="72DCDD2E"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Altre attività e (passività) nette non onerose</w:t>
            </w:r>
          </w:p>
        </w:tc>
        <w:tc>
          <w:tcPr>
            <w:tcW w:w="1014" w:type="dxa"/>
            <w:shd w:val="clear" w:color="auto" w:fill="auto"/>
            <w:noWrap/>
            <w:vAlign w:val="bottom"/>
            <w:hideMark/>
          </w:tcPr>
          <w:p w14:paraId="1E1E14BD"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xml:space="preserve">              310 </w:t>
            </w:r>
          </w:p>
        </w:tc>
        <w:tc>
          <w:tcPr>
            <w:tcW w:w="1014" w:type="dxa"/>
            <w:shd w:val="clear" w:color="auto" w:fill="auto"/>
            <w:noWrap/>
            <w:vAlign w:val="bottom"/>
            <w:hideMark/>
          </w:tcPr>
          <w:p w14:paraId="030E6736"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xml:space="preserve">            304 </w:t>
            </w:r>
          </w:p>
        </w:tc>
        <w:tc>
          <w:tcPr>
            <w:tcW w:w="1232" w:type="dxa"/>
            <w:shd w:val="clear" w:color="auto" w:fill="auto"/>
            <w:noWrap/>
            <w:vAlign w:val="bottom"/>
            <w:hideMark/>
          </w:tcPr>
          <w:p w14:paraId="5A9A4035"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xml:space="preserve">                6 </w:t>
            </w:r>
          </w:p>
        </w:tc>
      </w:tr>
      <w:tr w:rsidR="00162E69" w:rsidRPr="004D17AE" w14:paraId="66216BB8" w14:textId="77777777" w:rsidTr="005C7D76">
        <w:trPr>
          <w:trHeight w:val="270"/>
        </w:trPr>
        <w:tc>
          <w:tcPr>
            <w:tcW w:w="4111" w:type="dxa"/>
            <w:shd w:val="clear" w:color="auto" w:fill="auto"/>
            <w:noWrap/>
            <w:vAlign w:val="bottom"/>
            <w:hideMark/>
          </w:tcPr>
          <w:p w14:paraId="4DE2ABF6" w14:textId="77777777" w:rsidR="000A3AFE" w:rsidRPr="004D17AE" w:rsidRDefault="000A3AFE" w:rsidP="000A3AFE">
            <w:pPr>
              <w:widowControl/>
              <w:suppressAutoHyphens w:val="0"/>
              <w:overflowPunct/>
              <w:autoSpaceDE/>
              <w:autoSpaceDN/>
              <w:spacing w:line="240" w:lineRule="auto"/>
              <w:jc w:val="left"/>
              <w:textAlignment w:val="auto"/>
              <w:rPr>
                <w:b/>
                <w:bCs/>
                <w:sz w:val="20"/>
              </w:rPr>
            </w:pPr>
            <w:r w:rsidRPr="004D17AE">
              <w:rPr>
                <w:b/>
                <w:bCs/>
                <w:sz w:val="20"/>
              </w:rPr>
              <w:t>Capitale Investito Netto</w:t>
            </w:r>
          </w:p>
        </w:tc>
        <w:tc>
          <w:tcPr>
            <w:tcW w:w="1014" w:type="dxa"/>
            <w:shd w:val="clear" w:color="auto" w:fill="auto"/>
            <w:noWrap/>
            <w:vAlign w:val="bottom"/>
            <w:hideMark/>
          </w:tcPr>
          <w:p w14:paraId="0BEBCDBE" w14:textId="77777777" w:rsidR="000A3AFE" w:rsidRPr="004D17AE" w:rsidRDefault="000A3AFE" w:rsidP="000A3AFE">
            <w:pPr>
              <w:widowControl/>
              <w:suppressAutoHyphens w:val="0"/>
              <w:overflowPunct/>
              <w:autoSpaceDE/>
              <w:autoSpaceDN/>
              <w:spacing w:line="240" w:lineRule="auto"/>
              <w:jc w:val="left"/>
              <w:textAlignment w:val="auto"/>
              <w:rPr>
                <w:b/>
                <w:bCs/>
                <w:sz w:val="20"/>
              </w:rPr>
            </w:pPr>
            <w:r w:rsidRPr="004D17AE">
              <w:rPr>
                <w:b/>
                <w:bCs/>
                <w:sz w:val="20"/>
              </w:rPr>
              <w:t xml:space="preserve">  34.172 </w:t>
            </w:r>
          </w:p>
        </w:tc>
        <w:tc>
          <w:tcPr>
            <w:tcW w:w="1014" w:type="dxa"/>
            <w:shd w:val="clear" w:color="auto" w:fill="auto"/>
            <w:noWrap/>
            <w:vAlign w:val="bottom"/>
            <w:hideMark/>
          </w:tcPr>
          <w:p w14:paraId="7040AF89" w14:textId="77777777" w:rsidR="000A3AFE" w:rsidRPr="004D17AE" w:rsidRDefault="000A3AFE" w:rsidP="000A3AFE">
            <w:pPr>
              <w:widowControl/>
              <w:suppressAutoHyphens w:val="0"/>
              <w:overflowPunct/>
              <w:autoSpaceDE/>
              <w:autoSpaceDN/>
              <w:spacing w:line="240" w:lineRule="auto"/>
              <w:jc w:val="left"/>
              <w:textAlignment w:val="auto"/>
              <w:rPr>
                <w:b/>
                <w:bCs/>
                <w:sz w:val="20"/>
              </w:rPr>
            </w:pPr>
            <w:r w:rsidRPr="004D17AE">
              <w:rPr>
                <w:b/>
                <w:bCs/>
                <w:sz w:val="20"/>
              </w:rPr>
              <w:t xml:space="preserve">23.572 </w:t>
            </w:r>
          </w:p>
        </w:tc>
        <w:tc>
          <w:tcPr>
            <w:tcW w:w="1232" w:type="dxa"/>
            <w:shd w:val="clear" w:color="auto" w:fill="auto"/>
            <w:noWrap/>
            <w:vAlign w:val="bottom"/>
            <w:hideMark/>
          </w:tcPr>
          <w:p w14:paraId="7C9B1FD7" w14:textId="77777777" w:rsidR="000A3AFE" w:rsidRPr="004D17AE" w:rsidRDefault="000A3AFE" w:rsidP="000A3AFE">
            <w:pPr>
              <w:widowControl/>
              <w:suppressAutoHyphens w:val="0"/>
              <w:overflowPunct/>
              <w:autoSpaceDE/>
              <w:autoSpaceDN/>
              <w:spacing w:line="240" w:lineRule="auto"/>
              <w:jc w:val="left"/>
              <w:textAlignment w:val="auto"/>
              <w:rPr>
                <w:b/>
                <w:bCs/>
                <w:sz w:val="20"/>
              </w:rPr>
            </w:pPr>
            <w:r w:rsidRPr="004D17AE">
              <w:rPr>
                <w:b/>
                <w:bCs/>
                <w:sz w:val="20"/>
              </w:rPr>
              <w:t xml:space="preserve"> 10.600 </w:t>
            </w:r>
          </w:p>
        </w:tc>
      </w:tr>
      <w:tr w:rsidR="00162E69" w:rsidRPr="004D17AE" w14:paraId="13259BF9" w14:textId="77777777" w:rsidTr="005C7D76">
        <w:trPr>
          <w:trHeight w:val="270"/>
        </w:trPr>
        <w:tc>
          <w:tcPr>
            <w:tcW w:w="4111" w:type="dxa"/>
            <w:shd w:val="clear" w:color="auto" w:fill="auto"/>
            <w:noWrap/>
            <w:vAlign w:val="bottom"/>
            <w:hideMark/>
          </w:tcPr>
          <w:p w14:paraId="2B2E7259"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Patrimonio Netto</w:t>
            </w:r>
          </w:p>
        </w:tc>
        <w:tc>
          <w:tcPr>
            <w:tcW w:w="1014" w:type="dxa"/>
            <w:shd w:val="clear" w:color="auto" w:fill="auto"/>
            <w:noWrap/>
            <w:vAlign w:val="bottom"/>
            <w:hideMark/>
          </w:tcPr>
          <w:p w14:paraId="2FE58784"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xml:space="preserve">       23.708 </w:t>
            </w:r>
          </w:p>
        </w:tc>
        <w:tc>
          <w:tcPr>
            <w:tcW w:w="1014" w:type="dxa"/>
            <w:shd w:val="clear" w:color="auto" w:fill="auto"/>
            <w:noWrap/>
            <w:vAlign w:val="bottom"/>
            <w:hideMark/>
          </w:tcPr>
          <w:p w14:paraId="138C9BDD"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xml:space="preserve">       21.795 </w:t>
            </w:r>
          </w:p>
        </w:tc>
        <w:tc>
          <w:tcPr>
            <w:tcW w:w="1232" w:type="dxa"/>
            <w:shd w:val="clear" w:color="auto" w:fill="auto"/>
            <w:noWrap/>
            <w:vAlign w:val="bottom"/>
            <w:hideMark/>
          </w:tcPr>
          <w:p w14:paraId="144416A6"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xml:space="preserve">         1.913 </w:t>
            </w:r>
          </w:p>
        </w:tc>
      </w:tr>
      <w:tr w:rsidR="00162E69" w:rsidRPr="004D17AE" w14:paraId="02765671" w14:textId="77777777" w:rsidTr="005C7D76">
        <w:trPr>
          <w:trHeight w:val="270"/>
        </w:trPr>
        <w:tc>
          <w:tcPr>
            <w:tcW w:w="4111" w:type="dxa"/>
            <w:shd w:val="clear" w:color="auto" w:fill="auto"/>
            <w:noWrap/>
            <w:vAlign w:val="bottom"/>
            <w:hideMark/>
          </w:tcPr>
          <w:p w14:paraId="24DD65BE"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Debiti finanziari a lungo</w:t>
            </w:r>
          </w:p>
        </w:tc>
        <w:tc>
          <w:tcPr>
            <w:tcW w:w="1014" w:type="dxa"/>
            <w:shd w:val="clear" w:color="auto" w:fill="auto"/>
            <w:noWrap/>
            <w:vAlign w:val="bottom"/>
            <w:hideMark/>
          </w:tcPr>
          <w:p w14:paraId="5C94EC09"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xml:space="preserve">            616 </w:t>
            </w:r>
          </w:p>
        </w:tc>
        <w:tc>
          <w:tcPr>
            <w:tcW w:w="1014" w:type="dxa"/>
            <w:shd w:val="clear" w:color="auto" w:fill="auto"/>
            <w:noWrap/>
            <w:vAlign w:val="bottom"/>
            <w:hideMark/>
          </w:tcPr>
          <w:p w14:paraId="582FF015"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xml:space="preserve">         1.000 </w:t>
            </w:r>
          </w:p>
        </w:tc>
        <w:tc>
          <w:tcPr>
            <w:tcW w:w="1232" w:type="dxa"/>
            <w:shd w:val="clear" w:color="auto" w:fill="auto"/>
            <w:noWrap/>
            <w:vAlign w:val="bottom"/>
            <w:hideMark/>
          </w:tcPr>
          <w:p w14:paraId="421A352A"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xml:space="preserve">           (384)</w:t>
            </w:r>
          </w:p>
        </w:tc>
      </w:tr>
      <w:tr w:rsidR="00162E69" w:rsidRPr="004D17AE" w14:paraId="78E53322" w14:textId="77777777" w:rsidTr="005C7D76">
        <w:trPr>
          <w:trHeight w:val="270"/>
        </w:trPr>
        <w:tc>
          <w:tcPr>
            <w:tcW w:w="4111" w:type="dxa"/>
            <w:shd w:val="clear" w:color="auto" w:fill="auto"/>
            <w:noWrap/>
            <w:vAlign w:val="bottom"/>
            <w:hideMark/>
          </w:tcPr>
          <w:p w14:paraId="10DED9C9"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debiti finanziari a breve</w:t>
            </w:r>
          </w:p>
        </w:tc>
        <w:tc>
          <w:tcPr>
            <w:tcW w:w="1014" w:type="dxa"/>
            <w:shd w:val="clear" w:color="auto" w:fill="auto"/>
            <w:noWrap/>
            <w:vAlign w:val="bottom"/>
            <w:hideMark/>
          </w:tcPr>
          <w:p w14:paraId="5055B85B"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xml:space="preserve">       10.976 </w:t>
            </w:r>
          </w:p>
        </w:tc>
        <w:tc>
          <w:tcPr>
            <w:tcW w:w="1014" w:type="dxa"/>
            <w:shd w:val="clear" w:color="auto" w:fill="auto"/>
            <w:noWrap/>
            <w:vAlign w:val="bottom"/>
            <w:hideMark/>
          </w:tcPr>
          <w:p w14:paraId="038E5EB8"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xml:space="preserve">       10.000 </w:t>
            </w:r>
          </w:p>
        </w:tc>
        <w:tc>
          <w:tcPr>
            <w:tcW w:w="1232" w:type="dxa"/>
            <w:shd w:val="clear" w:color="auto" w:fill="auto"/>
            <w:noWrap/>
            <w:vAlign w:val="bottom"/>
            <w:hideMark/>
          </w:tcPr>
          <w:p w14:paraId="07D45C4A"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xml:space="preserve">            976 </w:t>
            </w:r>
          </w:p>
        </w:tc>
      </w:tr>
      <w:tr w:rsidR="00162E69" w:rsidRPr="004D17AE" w14:paraId="4621EB67" w14:textId="77777777" w:rsidTr="005C7D76">
        <w:trPr>
          <w:trHeight w:val="270"/>
        </w:trPr>
        <w:tc>
          <w:tcPr>
            <w:tcW w:w="4111" w:type="dxa"/>
            <w:shd w:val="clear" w:color="auto" w:fill="auto"/>
            <w:noWrap/>
            <w:vAlign w:val="bottom"/>
            <w:hideMark/>
          </w:tcPr>
          <w:p w14:paraId="0BE79EA9"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attività finanziarie (titoli negoziabili, crediti fruttiferi)</w:t>
            </w:r>
          </w:p>
        </w:tc>
        <w:tc>
          <w:tcPr>
            <w:tcW w:w="1014" w:type="dxa"/>
            <w:shd w:val="clear" w:color="auto" w:fill="auto"/>
            <w:noWrap/>
            <w:vAlign w:val="bottom"/>
            <w:hideMark/>
          </w:tcPr>
          <w:p w14:paraId="4FBE5DE2"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xml:space="preserve">                 - </w:t>
            </w:r>
          </w:p>
        </w:tc>
        <w:tc>
          <w:tcPr>
            <w:tcW w:w="1014" w:type="dxa"/>
            <w:shd w:val="clear" w:color="auto" w:fill="auto"/>
            <w:noWrap/>
            <w:vAlign w:val="bottom"/>
            <w:hideMark/>
          </w:tcPr>
          <w:p w14:paraId="5524928C"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xml:space="preserve">                 - </w:t>
            </w:r>
          </w:p>
        </w:tc>
        <w:tc>
          <w:tcPr>
            <w:tcW w:w="1232" w:type="dxa"/>
            <w:shd w:val="clear" w:color="auto" w:fill="auto"/>
            <w:noWrap/>
            <w:vAlign w:val="bottom"/>
            <w:hideMark/>
          </w:tcPr>
          <w:p w14:paraId="7716F0D4"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xml:space="preserve">                 - </w:t>
            </w:r>
          </w:p>
        </w:tc>
      </w:tr>
      <w:tr w:rsidR="00162E69" w:rsidRPr="004D17AE" w14:paraId="129CDD1C" w14:textId="77777777" w:rsidTr="005C7D76">
        <w:trPr>
          <w:trHeight w:val="270"/>
        </w:trPr>
        <w:tc>
          <w:tcPr>
            <w:tcW w:w="4111" w:type="dxa"/>
            <w:shd w:val="clear" w:color="auto" w:fill="auto"/>
            <w:noWrap/>
            <w:vAlign w:val="bottom"/>
            <w:hideMark/>
          </w:tcPr>
          <w:p w14:paraId="1E50A7F6"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disponibilità liquide (cassa, banche e simili)</w:t>
            </w:r>
          </w:p>
        </w:tc>
        <w:tc>
          <w:tcPr>
            <w:tcW w:w="1014" w:type="dxa"/>
            <w:shd w:val="clear" w:color="auto" w:fill="auto"/>
            <w:noWrap/>
            <w:vAlign w:val="bottom"/>
            <w:hideMark/>
          </w:tcPr>
          <w:p w14:paraId="17483E2B"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xml:space="preserve">        (1.128)</w:t>
            </w:r>
          </w:p>
        </w:tc>
        <w:tc>
          <w:tcPr>
            <w:tcW w:w="1014" w:type="dxa"/>
            <w:shd w:val="clear" w:color="auto" w:fill="auto"/>
            <w:noWrap/>
            <w:vAlign w:val="bottom"/>
            <w:hideMark/>
          </w:tcPr>
          <w:p w14:paraId="4985BB22"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xml:space="preserve">        (2.847)</w:t>
            </w:r>
          </w:p>
        </w:tc>
        <w:tc>
          <w:tcPr>
            <w:tcW w:w="1232" w:type="dxa"/>
            <w:shd w:val="clear" w:color="auto" w:fill="auto"/>
            <w:noWrap/>
            <w:vAlign w:val="bottom"/>
            <w:hideMark/>
          </w:tcPr>
          <w:p w14:paraId="2A68D414" w14:textId="77777777" w:rsidR="000A3AFE" w:rsidRPr="004D17AE" w:rsidRDefault="000A3AFE" w:rsidP="000A3AFE">
            <w:pPr>
              <w:widowControl/>
              <w:suppressAutoHyphens w:val="0"/>
              <w:overflowPunct/>
              <w:autoSpaceDE/>
              <w:autoSpaceDN/>
              <w:spacing w:line="240" w:lineRule="auto"/>
              <w:jc w:val="left"/>
              <w:textAlignment w:val="auto"/>
              <w:rPr>
                <w:sz w:val="20"/>
              </w:rPr>
            </w:pPr>
            <w:r w:rsidRPr="004D17AE">
              <w:rPr>
                <w:sz w:val="20"/>
              </w:rPr>
              <w:t xml:space="preserve">         1.719 </w:t>
            </w:r>
          </w:p>
        </w:tc>
      </w:tr>
      <w:tr w:rsidR="00162E69" w:rsidRPr="004D17AE" w14:paraId="6E4E7B00" w14:textId="77777777" w:rsidTr="005C7D76">
        <w:trPr>
          <w:trHeight w:val="270"/>
        </w:trPr>
        <w:tc>
          <w:tcPr>
            <w:tcW w:w="4111" w:type="dxa"/>
            <w:shd w:val="clear" w:color="auto" w:fill="auto"/>
            <w:noWrap/>
            <w:vAlign w:val="bottom"/>
            <w:hideMark/>
          </w:tcPr>
          <w:p w14:paraId="26DB267B" w14:textId="77777777" w:rsidR="000A3AFE" w:rsidRPr="004D17AE" w:rsidRDefault="000A3AFE" w:rsidP="000A3AFE">
            <w:pPr>
              <w:widowControl/>
              <w:suppressAutoHyphens w:val="0"/>
              <w:overflowPunct/>
              <w:autoSpaceDE/>
              <w:autoSpaceDN/>
              <w:spacing w:line="240" w:lineRule="auto"/>
              <w:jc w:val="left"/>
              <w:textAlignment w:val="auto"/>
              <w:rPr>
                <w:i/>
                <w:iCs/>
                <w:sz w:val="20"/>
              </w:rPr>
            </w:pPr>
            <w:r w:rsidRPr="004D17AE">
              <w:rPr>
                <w:i/>
                <w:iCs/>
                <w:sz w:val="20"/>
              </w:rPr>
              <w:t>= Posizione finanziaria netta</w:t>
            </w:r>
          </w:p>
        </w:tc>
        <w:tc>
          <w:tcPr>
            <w:tcW w:w="1014" w:type="dxa"/>
            <w:shd w:val="clear" w:color="auto" w:fill="auto"/>
            <w:noWrap/>
            <w:vAlign w:val="bottom"/>
            <w:hideMark/>
          </w:tcPr>
          <w:p w14:paraId="40601613" w14:textId="77777777" w:rsidR="000A3AFE" w:rsidRPr="004D17AE" w:rsidRDefault="000A3AFE" w:rsidP="000A3AFE">
            <w:pPr>
              <w:widowControl/>
              <w:suppressAutoHyphens w:val="0"/>
              <w:overflowPunct/>
              <w:autoSpaceDE/>
              <w:autoSpaceDN/>
              <w:spacing w:line="240" w:lineRule="auto"/>
              <w:jc w:val="left"/>
              <w:textAlignment w:val="auto"/>
              <w:rPr>
                <w:i/>
                <w:iCs/>
                <w:sz w:val="20"/>
              </w:rPr>
            </w:pPr>
            <w:r w:rsidRPr="004D17AE">
              <w:rPr>
                <w:i/>
                <w:iCs/>
                <w:sz w:val="20"/>
              </w:rPr>
              <w:t xml:space="preserve"> 10.464 </w:t>
            </w:r>
          </w:p>
        </w:tc>
        <w:tc>
          <w:tcPr>
            <w:tcW w:w="1014" w:type="dxa"/>
            <w:shd w:val="clear" w:color="auto" w:fill="auto"/>
            <w:noWrap/>
            <w:vAlign w:val="bottom"/>
            <w:hideMark/>
          </w:tcPr>
          <w:p w14:paraId="413BA521" w14:textId="77777777" w:rsidR="000A3AFE" w:rsidRPr="004D17AE" w:rsidRDefault="000A3AFE" w:rsidP="000A3AFE">
            <w:pPr>
              <w:widowControl/>
              <w:suppressAutoHyphens w:val="0"/>
              <w:overflowPunct/>
              <w:autoSpaceDE/>
              <w:autoSpaceDN/>
              <w:spacing w:line="240" w:lineRule="auto"/>
              <w:jc w:val="left"/>
              <w:textAlignment w:val="auto"/>
              <w:rPr>
                <w:i/>
                <w:iCs/>
                <w:sz w:val="20"/>
              </w:rPr>
            </w:pPr>
            <w:r w:rsidRPr="004D17AE">
              <w:rPr>
                <w:i/>
                <w:iCs/>
                <w:sz w:val="20"/>
              </w:rPr>
              <w:t xml:space="preserve">  8.153 </w:t>
            </w:r>
          </w:p>
        </w:tc>
        <w:tc>
          <w:tcPr>
            <w:tcW w:w="1232" w:type="dxa"/>
            <w:shd w:val="clear" w:color="auto" w:fill="auto"/>
            <w:noWrap/>
            <w:vAlign w:val="bottom"/>
            <w:hideMark/>
          </w:tcPr>
          <w:p w14:paraId="283AAEBE" w14:textId="77777777" w:rsidR="000A3AFE" w:rsidRPr="004D17AE" w:rsidRDefault="000A3AFE" w:rsidP="000A3AFE">
            <w:pPr>
              <w:widowControl/>
              <w:suppressAutoHyphens w:val="0"/>
              <w:overflowPunct/>
              <w:autoSpaceDE/>
              <w:autoSpaceDN/>
              <w:spacing w:line="240" w:lineRule="auto"/>
              <w:jc w:val="left"/>
              <w:textAlignment w:val="auto"/>
              <w:rPr>
                <w:i/>
                <w:iCs/>
                <w:sz w:val="20"/>
              </w:rPr>
            </w:pPr>
            <w:r w:rsidRPr="004D17AE">
              <w:rPr>
                <w:i/>
                <w:iCs/>
                <w:sz w:val="20"/>
              </w:rPr>
              <w:t xml:space="preserve">2.311 </w:t>
            </w:r>
          </w:p>
        </w:tc>
      </w:tr>
      <w:tr w:rsidR="00162E69" w:rsidRPr="004D17AE" w14:paraId="7D2EEC1C" w14:textId="77777777" w:rsidTr="005C7D76">
        <w:trPr>
          <w:trHeight w:val="270"/>
        </w:trPr>
        <w:tc>
          <w:tcPr>
            <w:tcW w:w="4111" w:type="dxa"/>
            <w:shd w:val="clear" w:color="auto" w:fill="auto"/>
            <w:noWrap/>
            <w:vAlign w:val="bottom"/>
            <w:hideMark/>
          </w:tcPr>
          <w:p w14:paraId="53D18FE2" w14:textId="77777777" w:rsidR="000A3AFE" w:rsidRPr="004D17AE" w:rsidRDefault="000A3AFE" w:rsidP="000A3AFE">
            <w:pPr>
              <w:widowControl/>
              <w:suppressAutoHyphens w:val="0"/>
              <w:overflowPunct/>
              <w:autoSpaceDE/>
              <w:autoSpaceDN/>
              <w:spacing w:line="240" w:lineRule="auto"/>
              <w:jc w:val="left"/>
              <w:textAlignment w:val="auto"/>
              <w:rPr>
                <w:b/>
                <w:bCs/>
                <w:sz w:val="20"/>
              </w:rPr>
            </w:pPr>
            <w:r w:rsidRPr="004D17AE">
              <w:rPr>
                <w:b/>
                <w:bCs/>
                <w:sz w:val="20"/>
              </w:rPr>
              <w:t>Totale fonti di finanziamento</w:t>
            </w:r>
          </w:p>
        </w:tc>
        <w:tc>
          <w:tcPr>
            <w:tcW w:w="1014" w:type="dxa"/>
            <w:shd w:val="clear" w:color="auto" w:fill="auto"/>
            <w:noWrap/>
            <w:vAlign w:val="bottom"/>
            <w:hideMark/>
          </w:tcPr>
          <w:p w14:paraId="2989A5B3" w14:textId="77777777" w:rsidR="000A3AFE" w:rsidRPr="004D17AE" w:rsidRDefault="000A3AFE" w:rsidP="000A3AFE">
            <w:pPr>
              <w:widowControl/>
              <w:suppressAutoHyphens w:val="0"/>
              <w:overflowPunct/>
              <w:autoSpaceDE/>
              <w:autoSpaceDN/>
              <w:spacing w:line="240" w:lineRule="auto"/>
              <w:jc w:val="left"/>
              <w:textAlignment w:val="auto"/>
              <w:rPr>
                <w:b/>
                <w:bCs/>
                <w:sz w:val="20"/>
              </w:rPr>
            </w:pPr>
            <w:r w:rsidRPr="004D17AE">
              <w:rPr>
                <w:b/>
                <w:bCs/>
                <w:sz w:val="20"/>
              </w:rPr>
              <w:t xml:space="preserve"> 34.172 </w:t>
            </w:r>
          </w:p>
        </w:tc>
        <w:tc>
          <w:tcPr>
            <w:tcW w:w="1014" w:type="dxa"/>
            <w:shd w:val="clear" w:color="auto" w:fill="auto"/>
            <w:noWrap/>
            <w:vAlign w:val="bottom"/>
            <w:hideMark/>
          </w:tcPr>
          <w:p w14:paraId="20A67A47" w14:textId="77777777" w:rsidR="000A3AFE" w:rsidRPr="004D17AE" w:rsidRDefault="000A3AFE" w:rsidP="000A3AFE">
            <w:pPr>
              <w:widowControl/>
              <w:suppressAutoHyphens w:val="0"/>
              <w:overflowPunct/>
              <w:autoSpaceDE/>
              <w:autoSpaceDN/>
              <w:spacing w:line="240" w:lineRule="auto"/>
              <w:jc w:val="left"/>
              <w:textAlignment w:val="auto"/>
              <w:rPr>
                <w:b/>
                <w:bCs/>
                <w:sz w:val="20"/>
              </w:rPr>
            </w:pPr>
            <w:r w:rsidRPr="004D17AE">
              <w:rPr>
                <w:b/>
                <w:bCs/>
                <w:sz w:val="20"/>
              </w:rPr>
              <w:t xml:space="preserve">  23.572 </w:t>
            </w:r>
          </w:p>
        </w:tc>
        <w:tc>
          <w:tcPr>
            <w:tcW w:w="1232" w:type="dxa"/>
            <w:shd w:val="clear" w:color="auto" w:fill="auto"/>
            <w:noWrap/>
            <w:vAlign w:val="bottom"/>
            <w:hideMark/>
          </w:tcPr>
          <w:p w14:paraId="2DADBCC0" w14:textId="77777777" w:rsidR="000A3AFE" w:rsidRPr="004D17AE" w:rsidRDefault="000A3AFE" w:rsidP="000A3AFE">
            <w:pPr>
              <w:widowControl/>
              <w:suppressAutoHyphens w:val="0"/>
              <w:overflowPunct/>
              <w:autoSpaceDE/>
              <w:autoSpaceDN/>
              <w:spacing w:line="240" w:lineRule="auto"/>
              <w:jc w:val="left"/>
              <w:textAlignment w:val="auto"/>
              <w:rPr>
                <w:b/>
                <w:bCs/>
                <w:sz w:val="20"/>
              </w:rPr>
            </w:pPr>
            <w:r w:rsidRPr="004D17AE">
              <w:rPr>
                <w:b/>
                <w:bCs/>
                <w:sz w:val="20"/>
              </w:rPr>
              <w:t xml:space="preserve">10.600 </w:t>
            </w:r>
          </w:p>
        </w:tc>
      </w:tr>
    </w:tbl>
    <w:p w14:paraId="0C24F0A0" w14:textId="77777777" w:rsidR="00EA7EBA" w:rsidRPr="00162E69" w:rsidRDefault="00EA7EBA" w:rsidP="00EA7EBA">
      <w:pPr>
        <w:pStyle w:val="Corpodeltesto2"/>
        <w:keepNext w:val="0"/>
        <w:pBdr>
          <w:top w:val="none" w:sz="0" w:space="0" w:color="auto"/>
          <w:left w:val="none" w:sz="0" w:space="0" w:color="auto"/>
          <w:bottom w:val="none" w:sz="0" w:space="0" w:color="auto"/>
          <w:right w:val="none" w:sz="0" w:space="0" w:color="auto"/>
        </w:pBdr>
        <w:textAlignment w:val="baseline"/>
        <w:rPr>
          <w:bCs w:val="0"/>
          <w:smallCaps w:val="0"/>
          <w:szCs w:val="24"/>
        </w:rPr>
      </w:pPr>
      <w:r w:rsidRPr="00162E69">
        <w:rPr>
          <w:bCs w:val="0"/>
          <w:smallCaps w:val="0"/>
          <w:szCs w:val="24"/>
        </w:rPr>
        <w:t>Contenziosi:</w:t>
      </w:r>
    </w:p>
    <w:p w14:paraId="002FE6BF" w14:textId="77777777" w:rsidR="00EA7EBA" w:rsidRPr="00162E69" w:rsidRDefault="00EA7EBA" w:rsidP="00EA7EBA">
      <w:pPr>
        <w:pStyle w:val="Corpodeltesto2"/>
        <w:keepNext w:val="0"/>
        <w:pBdr>
          <w:top w:val="none" w:sz="0" w:space="0" w:color="auto"/>
          <w:left w:val="none" w:sz="0" w:space="0" w:color="auto"/>
          <w:bottom w:val="none" w:sz="0" w:space="0" w:color="auto"/>
          <w:right w:val="none" w:sz="0" w:space="0" w:color="auto"/>
        </w:pBdr>
        <w:textAlignment w:val="baseline"/>
        <w:rPr>
          <w:b w:val="0"/>
          <w:bCs w:val="0"/>
          <w:smallCaps w:val="0"/>
          <w:szCs w:val="24"/>
        </w:rPr>
      </w:pPr>
      <w:r w:rsidRPr="00162E69">
        <w:rPr>
          <w:b w:val="0"/>
          <w:bCs w:val="0"/>
          <w:smallCaps w:val="0"/>
          <w:szCs w:val="24"/>
        </w:rPr>
        <w:t>Come noto, la vostra impresa ha eseguito nell’esercizio 2018, in forza di più contratti, prestazioni di subappalto, e di fornitura di beni e servizi, verso l’Impresa Astaldi SpA aggiudicataria da Terna SpA, di un lotto del collegamento elettrico Italia – Francia, in HVDC.  Nel corso di tali vicende contrattuali Astaldi entrava in crisi di liquidità e la Committente Terna, procedeva a rassicurare i fornitori attraverso la trasmissione di una lettera con la quale assumeva l’impegno al pagamento diretto di subappaltatori, fornitori, prestatori di servizio.</w:t>
      </w:r>
    </w:p>
    <w:p w14:paraId="48B3DED7" w14:textId="77777777" w:rsidR="00EA7EBA" w:rsidRPr="00162E69" w:rsidRDefault="00EA7EBA" w:rsidP="00EA7EBA">
      <w:pPr>
        <w:pStyle w:val="Corpodeltesto2"/>
        <w:keepNext w:val="0"/>
        <w:pBdr>
          <w:top w:val="none" w:sz="0" w:space="0" w:color="auto"/>
          <w:left w:val="none" w:sz="0" w:space="0" w:color="auto"/>
          <w:bottom w:val="none" w:sz="0" w:space="0" w:color="auto"/>
          <w:right w:val="none" w:sz="0" w:space="0" w:color="auto"/>
        </w:pBdr>
        <w:textAlignment w:val="baseline"/>
        <w:rPr>
          <w:b w:val="0"/>
          <w:bCs w:val="0"/>
          <w:smallCaps w:val="0"/>
          <w:szCs w:val="24"/>
        </w:rPr>
      </w:pPr>
      <w:r w:rsidRPr="00162E69">
        <w:rPr>
          <w:b w:val="0"/>
          <w:bCs w:val="0"/>
          <w:smallCaps w:val="0"/>
          <w:szCs w:val="24"/>
        </w:rPr>
        <w:t xml:space="preserve">Tale attività di pagamento si interrompeva in esito alla presentazione da parte </w:t>
      </w:r>
      <w:r w:rsidRPr="00162E69">
        <w:rPr>
          <w:b w:val="0"/>
          <w:bCs w:val="0"/>
          <w:smallCaps w:val="0"/>
          <w:szCs w:val="24"/>
        </w:rPr>
        <w:lastRenderedPageBreak/>
        <w:t xml:space="preserve">della Astaldi d’istanza di concordato in bianco intervenuto in data 28 </w:t>
      </w:r>
      <w:r w:rsidR="004D17AE" w:rsidRPr="00162E69">
        <w:rPr>
          <w:b w:val="0"/>
          <w:bCs w:val="0"/>
          <w:smallCaps w:val="0"/>
          <w:szCs w:val="24"/>
        </w:rPr>
        <w:t>settembre</w:t>
      </w:r>
      <w:r w:rsidRPr="00162E69">
        <w:rPr>
          <w:b w:val="0"/>
          <w:bCs w:val="0"/>
          <w:smallCaps w:val="0"/>
          <w:szCs w:val="24"/>
        </w:rPr>
        <w:t xml:space="preserve"> 2018. A tale data i crediti complessivi di Sitalfa verso Astaldi ammontavano ad € 4.195.170.</w:t>
      </w:r>
    </w:p>
    <w:p w14:paraId="3778B373" w14:textId="77777777" w:rsidR="00337C39" w:rsidRPr="00162E69" w:rsidRDefault="00EA7EBA" w:rsidP="00EA7EBA">
      <w:pPr>
        <w:pStyle w:val="Corpodeltesto2"/>
        <w:keepNext w:val="0"/>
        <w:pBdr>
          <w:top w:val="none" w:sz="0" w:space="0" w:color="auto"/>
          <w:left w:val="none" w:sz="0" w:space="0" w:color="auto"/>
          <w:bottom w:val="none" w:sz="0" w:space="0" w:color="auto"/>
          <w:right w:val="none" w:sz="0" w:space="0" w:color="auto"/>
        </w:pBdr>
        <w:textAlignment w:val="baseline"/>
        <w:rPr>
          <w:b w:val="0"/>
          <w:bCs w:val="0"/>
          <w:smallCaps w:val="0"/>
          <w:szCs w:val="24"/>
        </w:rPr>
      </w:pPr>
      <w:r w:rsidRPr="00162E69">
        <w:rPr>
          <w:b w:val="0"/>
          <w:bCs w:val="0"/>
          <w:smallCaps w:val="0"/>
          <w:szCs w:val="24"/>
        </w:rPr>
        <w:t xml:space="preserve">La materia è stata affidata alle cure dello studio Legale Fubini, Iorio, Cavalli ed Associati che ha </w:t>
      </w:r>
      <w:r w:rsidR="00D966CC" w:rsidRPr="00162E69">
        <w:rPr>
          <w:b w:val="0"/>
          <w:bCs w:val="0"/>
          <w:smallCaps w:val="0"/>
          <w:szCs w:val="24"/>
        </w:rPr>
        <w:t xml:space="preserve">promosso due distinti procedimenti innanzi al Tribunale Civile di Roma, uno riferito al Contratto di subappalto assunto da Astaldi attraverso un raggruppamento d’imprese avente nella Sitalfa SpA la Capogruppo mandataria, l’altro riferito ad un gruppo di quattro contratti avente ad oggetto prestazioni di fornitura di beni e servizi, </w:t>
      </w:r>
      <w:r w:rsidR="00337C39" w:rsidRPr="00162E69">
        <w:rPr>
          <w:b w:val="0"/>
          <w:bCs w:val="0"/>
          <w:smallCaps w:val="0"/>
          <w:szCs w:val="24"/>
        </w:rPr>
        <w:t xml:space="preserve">svolti nell’ambito del medesimo contratto d’appalto, </w:t>
      </w:r>
      <w:r w:rsidR="00D966CC" w:rsidRPr="00162E69">
        <w:rPr>
          <w:b w:val="0"/>
          <w:bCs w:val="0"/>
          <w:smallCaps w:val="0"/>
          <w:szCs w:val="24"/>
        </w:rPr>
        <w:t xml:space="preserve">a suo tempo </w:t>
      </w:r>
      <w:r w:rsidR="00337C39" w:rsidRPr="00162E69">
        <w:rPr>
          <w:b w:val="0"/>
          <w:bCs w:val="0"/>
          <w:smallCaps w:val="0"/>
          <w:szCs w:val="24"/>
        </w:rPr>
        <w:t xml:space="preserve">costituiti tra </w:t>
      </w:r>
      <w:r w:rsidR="00D966CC" w:rsidRPr="00162E69">
        <w:rPr>
          <w:b w:val="0"/>
          <w:bCs w:val="0"/>
          <w:smallCaps w:val="0"/>
          <w:szCs w:val="24"/>
        </w:rPr>
        <w:t xml:space="preserve"> Astaldi </w:t>
      </w:r>
      <w:r w:rsidR="00337C39" w:rsidRPr="00162E69">
        <w:rPr>
          <w:b w:val="0"/>
          <w:bCs w:val="0"/>
          <w:smallCaps w:val="0"/>
          <w:szCs w:val="24"/>
        </w:rPr>
        <w:t>e</w:t>
      </w:r>
      <w:r w:rsidR="00D966CC" w:rsidRPr="00162E69">
        <w:rPr>
          <w:b w:val="0"/>
          <w:bCs w:val="0"/>
          <w:smallCaps w:val="0"/>
          <w:szCs w:val="24"/>
        </w:rPr>
        <w:t xml:space="preserve"> Sitalfa SpA in veste di impresa singola.</w:t>
      </w:r>
    </w:p>
    <w:p w14:paraId="2C8926BC" w14:textId="77777777" w:rsidR="00EA7EBA" w:rsidRPr="00162E69" w:rsidRDefault="00D966CC" w:rsidP="00EA7EBA">
      <w:pPr>
        <w:pStyle w:val="Corpodeltesto2"/>
        <w:keepNext w:val="0"/>
        <w:pBdr>
          <w:top w:val="none" w:sz="0" w:space="0" w:color="auto"/>
          <w:left w:val="none" w:sz="0" w:space="0" w:color="auto"/>
          <w:bottom w:val="none" w:sz="0" w:space="0" w:color="auto"/>
          <w:right w:val="none" w:sz="0" w:space="0" w:color="auto"/>
        </w:pBdr>
        <w:textAlignment w:val="baseline"/>
        <w:rPr>
          <w:b w:val="0"/>
          <w:bCs w:val="0"/>
          <w:smallCaps w:val="0"/>
          <w:szCs w:val="24"/>
        </w:rPr>
      </w:pPr>
      <w:r w:rsidRPr="00162E69">
        <w:rPr>
          <w:b w:val="0"/>
          <w:bCs w:val="0"/>
          <w:smallCaps w:val="0"/>
          <w:szCs w:val="24"/>
        </w:rPr>
        <w:t>Attraverso tali cause Sitalfa SpA aspira a conseguire dalla committente</w:t>
      </w:r>
      <w:r w:rsidR="00EA7EBA" w:rsidRPr="00162E69">
        <w:rPr>
          <w:b w:val="0"/>
          <w:bCs w:val="0"/>
          <w:smallCaps w:val="0"/>
          <w:szCs w:val="24"/>
        </w:rPr>
        <w:t xml:space="preserve"> Terna il ristoro del danno sofferto</w:t>
      </w:r>
      <w:r w:rsidRPr="00162E69">
        <w:rPr>
          <w:b w:val="0"/>
          <w:bCs w:val="0"/>
          <w:smallCaps w:val="0"/>
          <w:szCs w:val="24"/>
        </w:rPr>
        <w:t xml:space="preserve"> per l’insolvenza di Astaldi </w:t>
      </w:r>
      <w:r w:rsidR="00EA7EBA" w:rsidRPr="00162E69">
        <w:rPr>
          <w:b w:val="0"/>
          <w:bCs w:val="0"/>
          <w:smallCaps w:val="0"/>
          <w:szCs w:val="24"/>
        </w:rPr>
        <w:t>ritenendo essersi costituito, in forza delle condotte adottate e della corrispondenza</w:t>
      </w:r>
      <w:r w:rsidRPr="00162E69">
        <w:rPr>
          <w:b w:val="0"/>
          <w:bCs w:val="0"/>
          <w:smallCaps w:val="0"/>
          <w:szCs w:val="24"/>
        </w:rPr>
        <w:t xml:space="preserve"> emessa</w:t>
      </w:r>
      <w:r w:rsidR="00EA7EBA" w:rsidRPr="00162E69">
        <w:rPr>
          <w:b w:val="0"/>
          <w:bCs w:val="0"/>
          <w:smallCaps w:val="0"/>
          <w:szCs w:val="24"/>
        </w:rPr>
        <w:t>, un rapporto obbligatorio diretto tra Terna e la vostra società.</w:t>
      </w:r>
    </w:p>
    <w:p w14:paraId="249FB99D" w14:textId="77777777" w:rsidR="00EA7EBA" w:rsidRPr="00162E69" w:rsidRDefault="00D966CC" w:rsidP="00EA7EBA">
      <w:pPr>
        <w:pStyle w:val="Corpodeltesto2"/>
        <w:keepNext w:val="0"/>
        <w:pBdr>
          <w:top w:val="none" w:sz="0" w:space="0" w:color="auto"/>
          <w:left w:val="none" w:sz="0" w:space="0" w:color="auto"/>
          <w:bottom w:val="none" w:sz="0" w:space="0" w:color="auto"/>
          <w:right w:val="none" w:sz="0" w:space="0" w:color="auto"/>
        </w:pBdr>
        <w:textAlignment w:val="baseline"/>
        <w:rPr>
          <w:b w:val="0"/>
          <w:bCs w:val="0"/>
          <w:smallCaps w:val="0"/>
          <w:szCs w:val="24"/>
        </w:rPr>
      </w:pPr>
      <w:r w:rsidRPr="00162E69">
        <w:rPr>
          <w:b w:val="0"/>
          <w:bCs w:val="0"/>
          <w:smallCaps w:val="0"/>
          <w:szCs w:val="24"/>
        </w:rPr>
        <w:t xml:space="preserve">Alla data odierna </w:t>
      </w:r>
      <w:r w:rsidR="00056B40" w:rsidRPr="00162E69">
        <w:rPr>
          <w:b w:val="0"/>
          <w:bCs w:val="0"/>
          <w:smallCaps w:val="0"/>
          <w:szCs w:val="24"/>
        </w:rPr>
        <w:t xml:space="preserve">entrambe i </w:t>
      </w:r>
      <w:r w:rsidRPr="00162E69">
        <w:rPr>
          <w:b w:val="0"/>
          <w:bCs w:val="0"/>
          <w:smallCaps w:val="0"/>
          <w:szCs w:val="24"/>
        </w:rPr>
        <w:t>procediment</w:t>
      </w:r>
      <w:r w:rsidR="00056B40" w:rsidRPr="00162E69">
        <w:rPr>
          <w:b w:val="0"/>
          <w:bCs w:val="0"/>
          <w:smallCaps w:val="0"/>
          <w:szCs w:val="24"/>
        </w:rPr>
        <w:t xml:space="preserve">i si trovano </w:t>
      </w:r>
      <w:r w:rsidR="00F84B62" w:rsidRPr="00162E69">
        <w:rPr>
          <w:b w:val="0"/>
          <w:bCs w:val="0"/>
          <w:smallCaps w:val="0"/>
          <w:szCs w:val="24"/>
        </w:rPr>
        <w:t xml:space="preserve">in primo grado di giudizio, nella fase di acquisizione di memorie </w:t>
      </w:r>
      <w:r w:rsidR="002A59B5" w:rsidRPr="00162E69">
        <w:rPr>
          <w:b w:val="0"/>
          <w:bCs w:val="0"/>
          <w:smallCaps w:val="0"/>
          <w:szCs w:val="24"/>
        </w:rPr>
        <w:t xml:space="preserve">istruttorie e </w:t>
      </w:r>
      <w:r w:rsidR="00D0284F" w:rsidRPr="00162E69">
        <w:rPr>
          <w:b w:val="0"/>
          <w:bCs w:val="0"/>
          <w:smallCaps w:val="0"/>
          <w:szCs w:val="24"/>
        </w:rPr>
        <w:t>difensive</w:t>
      </w:r>
      <w:r w:rsidR="00337C39" w:rsidRPr="00162E69">
        <w:rPr>
          <w:b w:val="0"/>
          <w:bCs w:val="0"/>
          <w:smallCaps w:val="0"/>
          <w:szCs w:val="24"/>
        </w:rPr>
        <w:t>.</w:t>
      </w:r>
      <w:r w:rsidR="00902DAC" w:rsidRPr="00162E69">
        <w:rPr>
          <w:b w:val="0"/>
          <w:bCs w:val="0"/>
          <w:smallCaps w:val="0"/>
          <w:szCs w:val="24"/>
        </w:rPr>
        <w:t xml:space="preserve"> Il CdA verrà tenuto costantemente informato sul relativo andamento.</w:t>
      </w:r>
    </w:p>
    <w:p w14:paraId="59C8C2F0" w14:textId="2F6214F0" w:rsidR="002C14DC" w:rsidRPr="00162E69" w:rsidRDefault="00902DAC" w:rsidP="002C14DC">
      <w:pPr>
        <w:pStyle w:val="Corpodeltesto2"/>
        <w:keepNext w:val="0"/>
        <w:pBdr>
          <w:top w:val="none" w:sz="0" w:space="0" w:color="auto"/>
          <w:left w:val="none" w:sz="0" w:space="0" w:color="auto"/>
          <w:bottom w:val="none" w:sz="0" w:space="0" w:color="auto"/>
          <w:right w:val="none" w:sz="0" w:space="0" w:color="auto"/>
        </w:pBdr>
        <w:textAlignment w:val="baseline"/>
        <w:rPr>
          <w:b w:val="0"/>
          <w:bCs w:val="0"/>
          <w:smallCaps w:val="0"/>
          <w:szCs w:val="24"/>
        </w:rPr>
      </w:pPr>
      <w:r w:rsidRPr="00162E69">
        <w:rPr>
          <w:b w:val="0"/>
          <w:bCs w:val="0"/>
          <w:smallCaps w:val="0"/>
          <w:szCs w:val="24"/>
        </w:rPr>
        <w:t>Nel corso del 202</w:t>
      </w:r>
      <w:r w:rsidR="007A6842">
        <w:rPr>
          <w:b w:val="0"/>
          <w:bCs w:val="0"/>
          <w:smallCaps w:val="0"/>
          <w:szCs w:val="24"/>
        </w:rPr>
        <w:t>0</w:t>
      </w:r>
      <w:r w:rsidRPr="00162E69">
        <w:rPr>
          <w:b w:val="0"/>
          <w:bCs w:val="0"/>
          <w:smallCaps w:val="0"/>
          <w:szCs w:val="24"/>
        </w:rPr>
        <w:t xml:space="preserve"> la società, in coerenza con quanto previsto dal piano concordatario, a </w:t>
      </w:r>
      <w:r w:rsidR="0091246E" w:rsidRPr="00162E69">
        <w:rPr>
          <w:b w:val="0"/>
          <w:bCs w:val="0"/>
          <w:smallCaps w:val="0"/>
          <w:szCs w:val="24"/>
        </w:rPr>
        <w:t>f</w:t>
      </w:r>
      <w:r w:rsidRPr="00162E69">
        <w:rPr>
          <w:b w:val="0"/>
          <w:bCs w:val="0"/>
          <w:smallCaps w:val="0"/>
          <w:szCs w:val="24"/>
        </w:rPr>
        <w:t xml:space="preserve">ronte dei propri crediti verso Astaldi, </w:t>
      </w:r>
      <w:r w:rsidRPr="002C14DC">
        <w:rPr>
          <w:b w:val="0"/>
          <w:bCs w:val="0"/>
          <w:smallCaps w:val="0"/>
          <w:szCs w:val="24"/>
        </w:rPr>
        <w:t xml:space="preserve">ha ricevuto </w:t>
      </w:r>
      <w:r w:rsidR="005E0D30" w:rsidRPr="002C14DC">
        <w:rPr>
          <w:b w:val="0"/>
          <w:bCs w:val="0"/>
          <w:smallCaps w:val="0"/>
          <w:szCs w:val="24"/>
        </w:rPr>
        <w:t>l’accreditamento sul conto corrente titoli</w:t>
      </w:r>
      <w:r w:rsidRPr="002C14DC">
        <w:rPr>
          <w:b w:val="0"/>
          <w:bCs w:val="0"/>
          <w:smallCaps w:val="0"/>
          <w:szCs w:val="24"/>
        </w:rPr>
        <w:t xml:space="preserve"> di </w:t>
      </w:r>
      <w:r w:rsidR="005E0D30" w:rsidRPr="002C14DC">
        <w:rPr>
          <w:b w:val="0"/>
          <w:bCs w:val="0"/>
          <w:smallCaps w:val="0"/>
          <w:szCs w:val="24"/>
        </w:rPr>
        <w:t xml:space="preserve">n. 452.519 azioni </w:t>
      </w:r>
      <w:r w:rsidR="002C14DC" w:rsidRPr="002C14DC">
        <w:rPr>
          <w:b w:val="0"/>
          <w:bCs w:val="0"/>
          <w:smallCaps w:val="0"/>
          <w:szCs w:val="24"/>
        </w:rPr>
        <w:t xml:space="preserve"> Astaldi </w:t>
      </w:r>
      <w:r w:rsidR="005E0D30" w:rsidRPr="002C14DC">
        <w:rPr>
          <w:b w:val="0"/>
          <w:bCs w:val="0"/>
          <w:smallCaps w:val="0"/>
          <w:szCs w:val="24"/>
        </w:rPr>
        <w:t xml:space="preserve">iscritte al valore di emissione di € 0,23 per azione </w:t>
      </w:r>
      <w:r w:rsidR="0091246E" w:rsidRPr="002C14DC">
        <w:rPr>
          <w:b w:val="0"/>
          <w:bCs w:val="0"/>
          <w:smallCaps w:val="0"/>
          <w:szCs w:val="24"/>
        </w:rPr>
        <w:t>pari a € 104.079,</w:t>
      </w:r>
      <w:r w:rsidR="002C14DC" w:rsidRPr="002C14DC">
        <w:rPr>
          <w:b w:val="0"/>
          <w:bCs w:val="0"/>
          <w:smallCaps w:val="0"/>
          <w:szCs w:val="24"/>
        </w:rPr>
        <w:t xml:space="preserve"> </w:t>
      </w:r>
      <w:r w:rsidR="002C14DC" w:rsidRPr="00162E69">
        <w:rPr>
          <w:b w:val="0"/>
          <w:bCs w:val="0"/>
          <w:smallCaps w:val="0"/>
          <w:szCs w:val="24"/>
        </w:rPr>
        <w:t>nonché il rilascio di n. 1 SFP per ogni Euro di credito (ovvero n. 3.622.175) iscritti ad un valore di € 0,1734 per SFP pari quindi a € 628.085.</w:t>
      </w:r>
    </w:p>
    <w:p w14:paraId="1EA0822C" w14:textId="7748E1CD" w:rsidR="00902DAC" w:rsidRPr="00162E69" w:rsidRDefault="002C14DC" w:rsidP="00EA7EBA">
      <w:pPr>
        <w:pStyle w:val="Corpodeltesto2"/>
        <w:keepNext w:val="0"/>
        <w:pBdr>
          <w:top w:val="none" w:sz="0" w:space="0" w:color="auto"/>
          <w:left w:val="none" w:sz="0" w:space="0" w:color="auto"/>
          <w:bottom w:val="none" w:sz="0" w:space="0" w:color="auto"/>
          <w:right w:val="none" w:sz="0" w:space="0" w:color="auto"/>
        </w:pBdr>
        <w:textAlignment w:val="baseline"/>
        <w:rPr>
          <w:b w:val="0"/>
          <w:bCs w:val="0"/>
          <w:smallCaps w:val="0"/>
          <w:szCs w:val="24"/>
        </w:rPr>
      </w:pPr>
      <w:r>
        <w:rPr>
          <w:b w:val="0"/>
          <w:bCs w:val="0"/>
          <w:smallCaps w:val="0"/>
          <w:szCs w:val="24"/>
        </w:rPr>
        <w:t xml:space="preserve"> Le suddette azioni Astaldi sono state convertite nell’agosto 2021 in n. 91861 azioni Webuild ordinarie </w:t>
      </w:r>
      <w:r w:rsidR="005E0D30" w:rsidRPr="00162E69">
        <w:rPr>
          <w:b w:val="0"/>
          <w:bCs w:val="0"/>
          <w:smallCaps w:val="0"/>
          <w:szCs w:val="24"/>
        </w:rPr>
        <w:t xml:space="preserve"> </w:t>
      </w:r>
      <w:r>
        <w:rPr>
          <w:b w:val="0"/>
          <w:bCs w:val="0"/>
          <w:smallCaps w:val="0"/>
          <w:szCs w:val="24"/>
        </w:rPr>
        <w:t>per un controvalore di € 207.789.</w:t>
      </w:r>
    </w:p>
    <w:p w14:paraId="0EAE8610" w14:textId="77777777" w:rsidR="0016716C" w:rsidRPr="00162E69" w:rsidRDefault="0016716C">
      <w:pPr>
        <w:pStyle w:val="Corpodeltesto2"/>
        <w:keepNext w:val="0"/>
        <w:pBdr>
          <w:top w:val="none" w:sz="0" w:space="0" w:color="auto"/>
          <w:left w:val="none" w:sz="0" w:space="0" w:color="auto"/>
          <w:bottom w:val="none" w:sz="0" w:space="0" w:color="auto"/>
          <w:right w:val="none" w:sz="0" w:space="0" w:color="auto"/>
        </w:pBdr>
        <w:textAlignment w:val="baseline"/>
        <w:rPr>
          <w:bCs w:val="0"/>
          <w:smallCaps w:val="0"/>
          <w:szCs w:val="24"/>
        </w:rPr>
      </w:pPr>
      <w:r w:rsidRPr="00162E69">
        <w:rPr>
          <w:bCs w:val="0"/>
          <w:smallCaps w:val="0"/>
          <w:szCs w:val="24"/>
        </w:rPr>
        <w:lastRenderedPageBreak/>
        <w:t>Assetti proprietari della controllante Sitaf S.p.A.</w:t>
      </w:r>
    </w:p>
    <w:p w14:paraId="5859D081" w14:textId="47AC8415" w:rsidR="00B80A34" w:rsidRPr="00162E69" w:rsidRDefault="00914FE3" w:rsidP="004D17AE">
      <w:pPr>
        <w:keepNext/>
        <w:spacing w:before="240" w:line="360" w:lineRule="auto"/>
        <w:rPr>
          <w:szCs w:val="24"/>
        </w:rPr>
      </w:pPr>
      <w:r>
        <w:rPr>
          <w:szCs w:val="24"/>
        </w:rPr>
        <w:t>S</w:t>
      </w:r>
      <w:r w:rsidR="00B80A34" w:rsidRPr="00162E69">
        <w:rPr>
          <w:szCs w:val="24"/>
        </w:rPr>
        <w:t xml:space="preserve">i comunica che con assemblea straordinaria del 7 aprile 2021 la controllante SITAF ha provveduto all’adeguamento del proprio statuto sociale così come richiesto dall’azionista di controllo ASTM ed in osservanza alle indicazioni dell’Ente Concedente, al fine di rimuovere clausole statutarie contrastanti con le norme sopravvenute. </w:t>
      </w:r>
    </w:p>
    <w:p w14:paraId="08A0C3A7" w14:textId="77777777" w:rsidR="00B80A34" w:rsidRPr="00162E69" w:rsidRDefault="00B80A34" w:rsidP="00B80A34">
      <w:pPr>
        <w:keepNext/>
        <w:spacing w:line="360" w:lineRule="auto"/>
        <w:rPr>
          <w:szCs w:val="24"/>
        </w:rPr>
      </w:pPr>
      <w:r w:rsidRPr="00162E69">
        <w:rPr>
          <w:szCs w:val="24"/>
        </w:rPr>
        <w:t>A seguito del mutato assetto azionario, si è provveduto a nominare un nuovo Amministratore Delegato su indicazione dell’azionista di controllo.</w:t>
      </w:r>
    </w:p>
    <w:p w14:paraId="1A7E8888" w14:textId="77777777" w:rsidR="00B80A34" w:rsidRPr="00162E69" w:rsidRDefault="00B80A34" w:rsidP="00B80A34">
      <w:pPr>
        <w:keepNext/>
        <w:spacing w:line="360" w:lineRule="auto"/>
        <w:rPr>
          <w:szCs w:val="24"/>
        </w:rPr>
      </w:pPr>
      <w:r w:rsidRPr="00162E69">
        <w:rPr>
          <w:szCs w:val="24"/>
        </w:rPr>
        <w:t>In tale contesto SITAF ha deliberato di accertare, ai sensi e per gli effetti degli artt. 2497 e ss. c.c., attività di direzione e coordinamento da parte di ASTM S.p.A. e di procedere agli adempimenti ex lege, è stato altresì adottato il Codice Etico e di Comportamento del Gruppo ASTM.</w:t>
      </w:r>
    </w:p>
    <w:p w14:paraId="034878FD" w14:textId="77777777" w:rsidR="00B80A34" w:rsidRPr="00162E69" w:rsidRDefault="00B80A34" w:rsidP="00B80A34">
      <w:pPr>
        <w:keepNext/>
        <w:spacing w:line="360" w:lineRule="auto"/>
        <w:rPr>
          <w:szCs w:val="24"/>
        </w:rPr>
      </w:pPr>
      <w:r w:rsidRPr="00162E69">
        <w:rPr>
          <w:szCs w:val="24"/>
        </w:rPr>
        <w:t>SITAF ha inoltre conferito, su proposta motivata dell’organo di controllo, l'incarico di revisione legale dei conti della Società per gli esercizi 2021-2022-2023 alla PricewaterhouseCoopers S.p.A., già revisore di ASTM, previa risoluzione consensuale del contratto con il precedente revisore EY S.p.A.</w:t>
      </w:r>
    </w:p>
    <w:p w14:paraId="0E564280" w14:textId="4053E3E2" w:rsidR="00B80A34" w:rsidRPr="00162E69" w:rsidRDefault="00B80A34" w:rsidP="00B80A34">
      <w:pPr>
        <w:keepNext/>
        <w:spacing w:line="360" w:lineRule="auto"/>
        <w:rPr>
          <w:szCs w:val="24"/>
        </w:rPr>
      </w:pPr>
      <w:r w:rsidRPr="00162E69">
        <w:rPr>
          <w:szCs w:val="24"/>
        </w:rPr>
        <w:t>In tale contesto sì è provveduto altresì a modificare gli statuti delle società interamente controllate Sitalfa S.p.A., Tecnositaf S.p.A., Musinet Engineering S.p.A. e ROSS S.r.l., soggette a direzione e coordinamento di SITAF S.p.A., al fine di rendere gli stessi omogenei tra loro e aderenti allo statuto sociale di SITAF, nonché di eliminare disposizioni ritenute superate dal contesto normativo e/o operativo in cui si muove il Gruppo SITAF. A valle delle predette modifiche statutarie SITAF ha proceduto a rinnovare gli organi di amministrazione e controllo in scadenza delle predette società controllate.</w:t>
      </w:r>
    </w:p>
    <w:p w14:paraId="1E41F202" w14:textId="5073D6A8" w:rsidR="002E643C" w:rsidRPr="00162E69" w:rsidRDefault="007A19A9">
      <w:pPr>
        <w:rPr>
          <w:szCs w:val="24"/>
        </w:rPr>
      </w:pPr>
      <w:r w:rsidRPr="00162E69">
        <w:rPr>
          <w:b/>
          <w:bCs/>
          <w:smallCaps/>
          <w:szCs w:val="24"/>
        </w:rPr>
        <w:t>Informazioni su qualita’ ambiente e personale</w:t>
      </w:r>
    </w:p>
    <w:p w14:paraId="62EE0879" w14:textId="77777777" w:rsidR="00F670A9" w:rsidRPr="00162E69" w:rsidRDefault="00F670A9" w:rsidP="00F670A9">
      <w:pPr>
        <w:tabs>
          <w:tab w:val="left" w:pos="1500"/>
        </w:tabs>
        <w:rPr>
          <w:szCs w:val="24"/>
        </w:rPr>
      </w:pPr>
      <w:r w:rsidRPr="00162E69">
        <w:rPr>
          <w:b/>
          <w:szCs w:val="24"/>
        </w:rPr>
        <w:t>Qualità ed Ambiente</w:t>
      </w:r>
      <w:r w:rsidRPr="00162E69">
        <w:rPr>
          <w:b/>
          <w:szCs w:val="24"/>
        </w:rPr>
        <w:tab/>
      </w:r>
    </w:p>
    <w:p w14:paraId="60C7EA50" w14:textId="77777777" w:rsidR="0060120B" w:rsidRPr="00162E69" w:rsidRDefault="0060120B" w:rsidP="0060120B">
      <w:pPr>
        <w:rPr>
          <w:szCs w:val="24"/>
        </w:rPr>
      </w:pPr>
      <w:r w:rsidRPr="00162E69">
        <w:rPr>
          <w:szCs w:val="24"/>
        </w:rPr>
        <w:lastRenderedPageBreak/>
        <w:t xml:space="preserve">Nel corso del </w:t>
      </w:r>
      <w:r w:rsidR="00B80A34" w:rsidRPr="00162E69">
        <w:rPr>
          <w:szCs w:val="24"/>
        </w:rPr>
        <w:t xml:space="preserve">2021 </w:t>
      </w:r>
      <w:r w:rsidRPr="00162E69">
        <w:rPr>
          <w:szCs w:val="24"/>
        </w:rPr>
        <w:t xml:space="preserve">la Società </w:t>
      </w:r>
      <w:r w:rsidR="006053BE" w:rsidRPr="00162E69">
        <w:rPr>
          <w:szCs w:val="24"/>
        </w:rPr>
        <w:t>h</w:t>
      </w:r>
      <w:r w:rsidRPr="00162E69">
        <w:rPr>
          <w:szCs w:val="24"/>
        </w:rPr>
        <w:t xml:space="preserve">a </w:t>
      </w:r>
      <w:r w:rsidR="006053BE" w:rsidRPr="00162E69">
        <w:rPr>
          <w:szCs w:val="24"/>
        </w:rPr>
        <w:t>mantenuto</w:t>
      </w:r>
      <w:r w:rsidRPr="00162E69">
        <w:rPr>
          <w:szCs w:val="24"/>
        </w:rPr>
        <w:t xml:space="preserve"> il proprio Sistema di gestione integrato per la qualità e l’Ambiente</w:t>
      </w:r>
      <w:r w:rsidR="006053BE" w:rsidRPr="00162E69">
        <w:rPr>
          <w:szCs w:val="24"/>
        </w:rPr>
        <w:t xml:space="preserve"> che ha superato </w:t>
      </w:r>
      <w:r w:rsidR="008B4AEB" w:rsidRPr="00162E69">
        <w:rPr>
          <w:szCs w:val="24"/>
        </w:rPr>
        <w:t>l’</w:t>
      </w:r>
      <w:r w:rsidRPr="00162E69">
        <w:rPr>
          <w:i/>
          <w:szCs w:val="24"/>
        </w:rPr>
        <w:t>Audit</w:t>
      </w:r>
      <w:r w:rsidRPr="00162E69">
        <w:rPr>
          <w:szCs w:val="24"/>
        </w:rPr>
        <w:t xml:space="preserve"> </w:t>
      </w:r>
      <w:r w:rsidR="006053BE" w:rsidRPr="00162E69">
        <w:rPr>
          <w:szCs w:val="24"/>
        </w:rPr>
        <w:t>dell’</w:t>
      </w:r>
      <w:r w:rsidR="008B4AEB" w:rsidRPr="00162E69">
        <w:rPr>
          <w:szCs w:val="24"/>
        </w:rPr>
        <w:t>E</w:t>
      </w:r>
      <w:r w:rsidR="006053BE" w:rsidRPr="00162E69">
        <w:rPr>
          <w:szCs w:val="24"/>
        </w:rPr>
        <w:t xml:space="preserve">nte di certificazione RINA </w:t>
      </w:r>
      <w:r w:rsidRPr="00162E69">
        <w:rPr>
          <w:szCs w:val="24"/>
        </w:rPr>
        <w:t>svolt</w:t>
      </w:r>
      <w:r w:rsidR="006053BE" w:rsidRPr="00162E69">
        <w:rPr>
          <w:szCs w:val="24"/>
        </w:rPr>
        <w:t xml:space="preserve">o </w:t>
      </w:r>
      <w:r w:rsidR="005C75E1" w:rsidRPr="00162E69">
        <w:rPr>
          <w:szCs w:val="24"/>
        </w:rPr>
        <w:t>nei giorni</w:t>
      </w:r>
      <w:r w:rsidRPr="00162E69">
        <w:rPr>
          <w:szCs w:val="24"/>
        </w:rPr>
        <w:t xml:space="preserve"> </w:t>
      </w:r>
      <w:r w:rsidR="00B80A34" w:rsidRPr="00162E69">
        <w:rPr>
          <w:szCs w:val="24"/>
        </w:rPr>
        <w:t xml:space="preserve">9 </w:t>
      </w:r>
      <w:r w:rsidR="005C75E1" w:rsidRPr="00162E69">
        <w:rPr>
          <w:szCs w:val="24"/>
        </w:rPr>
        <w:t xml:space="preserve">e </w:t>
      </w:r>
      <w:r w:rsidR="00B80A34" w:rsidRPr="00162E69">
        <w:rPr>
          <w:szCs w:val="24"/>
        </w:rPr>
        <w:t xml:space="preserve">14 Settembre </w:t>
      </w:r>
      <w:r w:rsidRPr="00162E69">
        <w:rPr>
          <w:szCs w:val="24"/>
        </w:rPr>
        <w:t>20</w:t>
      </w:r>
      <w:r w:rsidR="00713FA8" w:rsidRPr="00162E69">
        <w:rPr>
          <w:szCs w:val="24"/>
        </w:rPr>
        <w:t>2</w:t>
      </w:r>
      <w:r w:rsidR="00B80A34" w:rsidRPr="00162E69">
        <w:rPr>
          <w:szCs w:val="24"/>
        </w:rPr>
        <w:t>1</w:t>
      </w:r>
      <w:r w:rsidRPr="00162E69">
        <w:rPr>
          <w:szCs w:val="24"/>
        </w:rPr>
        <w:t xml:space="preserve">, </w:t>
      </w:r>
      <w:r w:rsidR="006053BE" w:rsidRPr="00162E69">
        <w:rPr>
          <w:szCs w:val="24"/>
        </w:rPr>
        <w:t xml:space="preserve">che </w:t>
      </w:r>
      <w:r w:rsidRPr="00162E69">
        <w:rPr>
          <w:szCs w:val="24"/>
        </w:rPr>
        <w:t>ha accertato la conformità del Sistema di gestione integrato Sitalfa tanto rispetto alla edizione 2015 della norma ISO 14001 che alla edizione 2015 della norma ISO 9001.</w:t>
      </w:r>
    </w:p>
    <w:p w14:paraId="7074EF87" w14:textId="43BB5406" w:rsidR="0060120B" w:rsidRPr="00162E69" w:rsidRDefault="0060120B" w:rsidP="0060120B">
      <w:pPr>
        <w:rPr>
          <w:szCs w:val="24"/>
        </w:rPr>
      </w:pPr>
      <w:r w:rsidRPr="00162E69">
        <w:rPr>
          <w:szCs w:val="24"/>
        </w:rPr>
        <w:t>In attuazione della disposizione legislativa recata dall’art 8 del D.P.R. n. 43/2012 e del Regolamento CE n. 303/2008,  che hanno introdotto speciali oneri a carico degli operatori economici svolgenti attività d’installazione, manutenzione o riparazione  di apparecchiature fisse di refrigerazione, condizionamento d’aria e pompe di calore contenenti taluni gas fluorurati ad effetto serra, la Sitalfa, già nell’anno 2014, ebbe  ad iscriversi nel registro nazionale delle imprese operanti in tale ramo di attività, a conseguire la qualificazione del personale impegnato in tali attività previo consegui</w:t>
      </w:r>
      <w:r w:rsidR="007A08BA">
        <w:rPr>
          <w:szCs w:val="24"/>
        </w:rPr>
        <w:t>me</w:t>
      </w:r>
      <w:r w:rsidR="00A35A55">
        <w:rPr>
          <w:szCs w:val="24"/>
        </w:rPr>
        <w:t>n</w:t>
      </w:r>
      <w:r w:rsidRPr="00162E69">
        <w:rPr>
          <w:szCs w:val="24"/>
        </w:rPr>
        <w:t>to di patentino di frigorista, e ad apportare le opportune integrazioni al sistema documentale che è stato  verificato dall’Ente di Certificazione RINA il quale ha rilasciato, in data 21 febbraio 2014, certificato di conformità alle su richiamate norme, identificato dal n. 717/14. Tale certificazione è stata sottoposta nel 20</w:t>
      </w:r>
      <w:r w:rsidR="00713FA8" w:rsidRPr="00162E69">
        <w:rPr>
          <w:szCs w:val="24"/>
        </w:rPr>
        <w:t>20</w:t>
      </w:r>
      <w:r w:rsidRPr="00162E69">
        <w:rPr>
          <w:szCs w:val="24"/>
        </w:rPr>
        <w:t xml:space="preserve"> a verifica periodica che ha dato esito favorevole. </w:t>
      </w:r>
    </w:p>
    <w:p w14:paraId="51160088" w14:textId="77777777" w:rsidR="0060120B" w:rsidRPr="00162E69" w:rsidRDefault="0060120B" w:rsidP="0060120B">
      <w:pPr>
        <w:rPr>
          <w:szCs w:val="24"/>
        </w:rPr>
      </w:pPr>
      <w:r w:rsidRPr="00162E69">
        <w:rPr>
          <w:szCs w:val="24"/>
        </w:rPr>
        <w:t xml:space="preserve">Nel corso dell’esercizio </w:t>
      </w:r>
      <w:r w:rsidR="00B80A34" w:rsidRPr="00162E69">
        <w:rPr>
          <w:szCs w:val="24"/>
        </w:rPr>
        <w:t xml:space="preserve">2021 </w:t>
      </w:r>
      <w:r w:rsidRPr="00162E69">
        <w:rPr>
          <w:szCs w:val="24"/>
        </w:rPr>
        <w:t xml:space="preserve">la Società ha altresì rinnovato la propria iscrizione nella </w:t>
      </w:r>
      <w:r w:rsidRPr="00162E69">
        <w:rPr>
          <w:i/>
          <w:szCs w:val="24"/>
        </w:rPr>
        <w:t>White List</w:t>
      </w:r>
      <w:r w:rsidRPr="00162E69">
        <w:rPr>
          <w:szCs w:val="24"/>
        </w:rPr>
        <w:t xml:space="preserve"> della prefettura di Torino contenente “</w:t>
      </w:r>
      <w:r w:rsidRPr="00162E69">
        <w:rPr>
          <w:i/>
          <w:szCs w:val="24"/>
        </w:rPr>
        <w:t>elenco dei fornitori, prestatori di servizi ed esecutori non soggetti a tentativi d’infiltrazione mafiosa</w:t>
      </w:r>
      <w:r w:rsidRPr="00162E69">
        <w:rPr>
          <w:szCs w:val="24"/>
        </w:rPr>
        <w:t>”.</w:t>
      </w:r>
    </w:p>
    <w:p w14:paraId="50558D59" w14:textId="77777777" w:rsidR="00E0044C" w:rsidRPr="00162E69" w:rsidRDefault="00E0044C" w:rsidP="00E0044C">
      <w:pPr>
        <w:rPr>
          <w:szCs w:val="24"/>
        </w:rPr>
      </w:pPr>
      <w:r w:rsidRPr="00162E69">
        <w:rPr>
          <w:szCs w:val="24"/>
        </w:rPr>
        <w:t xml:space="preserve">In materia ambientale la società si è posta degli obiettivi/impegni che partendo dal pieno rispetto delle normative vigenti in materia hanno portato nel corso dell’anno di riferimento ad una sensibilizzazione sulle politiche di </w:t>
      </w:r>
      <w:r w:rsidRPr="00162E69">
        <w:rPr>
          <w:szCs w:val="24"/>
        </w:rPr>
        <w:lastRenderedPageBreak/>
        <w:t>tutela dell’ambiente rivolta sia al proprio interno verso il personale tecnico ed operativo sia all’esterno verso i vari soggetti (subappaltatori, fornitori etc.) che interagiscono con Sitalfa.</w:t>
      </w:r>
    </w:p>
    <w:p w14:paraId="7D1C65B9" w14:textId="17439070" w:rsidR="00E0044C" w:rsidRPr="00162E69" w:rsidRDefault="00FF3D09" w:rsidP="00E0044C">
      <w:pPr>
        <w:rPr>
          <w:szCs w:val="24"/>
        </w:rPr>
      </w:pPr>
      <w:r>
        <w:rPr>
          <w:szCs w:val="24"/>
        </w:rPr>
        <w:t>L</w:t>
      </w:r>
      <w:r w:rsidR="00E0044C" w:rsidRPr="00162E69">
        <w:rPr>
          <w:szCs w:val="24"/>
        </w:rPr>
        <w:t>’azienda ha esercitato una rilevante attività di costruzione e manutenzione, sia nella ordinaria manutenzione che negli investimenti, che ha generato varie tipologie di materiali di risulta che sono stati gestiti tecnicamente e documentalmente in conformità al dettato normativo suddividendo i rifiuti speciali in due macro categorie: 1) produzione di rifiuti, 2) recupero di rifiuti.</w:t>
      </w:r>
    </w:p>
    <w:p w14:paraId="4577549B" w14:textId="77777777" w:rsidR="00E0044C" w:rsidRPr="00162E69" w:rsidRDefault="00E0044C" w:rsidP="00E0044C">
      <w:pPr>
        <w:rPr>
          <w:szCs w:val="24"/>
        </w:rPr>
      </w:pPr>
      <w:r w:rsidRPr="00162E69">
        <w:rPr>
          <w:szCs w:val="24"/>
        </w:rPr>
        <w:t>I rifiuti speciali pericolosi/non pericolosi prodotti presso le unità locali e presso i cantieri temporanei e mobili sono stati o allontanati direttamente, per il tramite di mezzi aziendali iscritti all’Albo Nazionale Gestori Ambientali (Sezione Regione Piemonte – Posizione n. TO04356) o usufruendo del servizio di soggetti terzi di cui si è provveduto ad acquisire preliminarmente pertinente iscrizione al predetto Albo, oppure messi in deposito temporaneo rispettando il criterio temporale  e successivamente avviati ad idonei impianti di recupero oppure a centri di smaltimento previo idonea verifica preventiva del sistema autorizzativo.</w:t>
      </w:r>
    </w:p>
    <w:p w14:paraId="0DF59574" w14:textId="77777777" w:rsidR="00E0044C" w:rsidRPr="00162E69" w:rsidRDefault="00E0044C" w:rsidP="00E0044C">
      <w:pPr>
        <w:rPr>
          <w:szCs w:val="24"/>
        </w:rPr>
      </w:pPr>
      <w:r w:rsidRPr="00162E69">
        <w:rPr>
          <w:szCs w:val="24"/>
        </w:rPr>
        <w:t>Il trasporto verso i richiamati centri o impianti è stato accompagnato da idoneo documento (formulario) di accompagnamento rifiuti.</w:t>
      </w:r>
    </w:p>
    <w:p w14:paraId="21734022" w14:textId="77777777" w:rsidR="00E0044C" w:rsidRPr="00162E69" w:rsidRDefault="00E0044C" w:rsidP="00E0044C">
      <w:pPr>
        <w:rPr>
          <w:szCs w:val="24"/>
        </w:rPr>
      </w:pPr>
      <w:r w:rsidRPr="00162E69">
        <w:rPr>
          <w:szCs w:val="24"/>
        </w:rPr>
        <w:t>Quanto sopra per le attività di produzione dei rifiuti rispetto ai quali l’azienda non prevede un recupero interno mentre per i rifiuti generati dalle pavimentazioni stradali e dalle demolizioni si provvede al recupero dei materiali attuando i principi della economia circolare, obiettivo che le aziende devono porsi in una logica moderna di produzione e convivenza civile.</w:t>
      </w:r>
    </w:p>
    <w:p w14:paraId="5D702CA5" w14:textId="77777777" w:rsidR="00E0044C" w:rsidRPr="00162E69" w:rsidRDefault="00E0044C" w:rsidP="00E0044C">
      <w:pPr>
        <w:rPr>
          <w:szCs w:val="24"/>
        </w:rPr>
      </w:pPr>
      <w:r w:rsidRPr="00162E69">
        <w:rPr>
          <w:szCs w:val="24"/>
        </w:rPr>
        <w:t xml:space="preserve">Sitalfa ha all’uopo organizzato una importante attività di recupero dei rifiuti speciali non pericolosi, derivanti dai predetti lavori manutentivi </w:t>
      </w:r>
      <w:r w:rsidRPr="00162E69">
        <w:rPr>
          <w:szCs w:val="24"/>
        </w:rPr>
        <w:lastRenderedPageBreak/>
        <w:t>predisponendo un impianto di recupero dei materiali di risulta derivanti dai lavori di rifacimento delle pavimentazioni stradali (conglomerato bituminoso) e dei materiali derivanti dalle demolizioni di strutture (cls, cemento, mattoni etc), dotandosi di Autorizzazione Ambientale Unica (A.U.A.), rilasciata dalla Città Metropolitana di Torino (per il tramite dello Sportello Unico Attività Produttive), N.51 – 4406/2018 del 15/02/2018.</w:t>
      </w:r>
    </w:p>
    <w:p w14:paraId="336D9D0B" w14:textId="77777777" w:rsidR="00E0044C" w:rsidRPr="00162E69" w:rsidRDefault="00E0044C" w:rsidP="00E0044C">
      <w:pPr>
        <w:rPr>
          <w:szCs w:val="24"/>
        </w:rPr>
      </w:pPr>
      <w:r w:rsidRPr="00162E69">
        <w:rPr>
          <w:szCs w:val="24"/>
        </w:rPr>
        <w:t xml:space="preserve">L’atto amministrativo è stato aggiornato, previo presentazione di idonea istanza finalizzata ad un aumento delle quantità di materiali (rifiuto e materia prima secondaria) stoccabili in impianto, con determinazione n. 208-6995/2019 datata 26/09/2019 della Città Metropolitana di Torino. </w:t>
      </w:r>
    </w:p>
    <w:p w14:paraId="0F2E8671" w14:textId="77777777" w:rsidR="00E0044C" w:rsidRPr="00162E69" w:rsidRDefault="00E0044C" w:rsidP="00E0044C">
      <w:pPr>
        <w:rPr>
          <w:szCs w:val="24"/>
        </w:rPr>
      </w:pPr>
      <w:r w:rsidRPr="00162E69">
        <w:rPr>
          <w:szCs w:val="24"/>
        </w:rPr>
        <w:t>Detta autorizzazione consente l’attività di recupero dei descritti materiali (R5) ed è l’applicazione concreta, nel caso del conglomerato bituminoso (“fresato”, CER 17.03.02), dei principi della tanto in voga economia circolare per il tramite della procedura statuita dal D.M. n.69/18 del 28 marzo 2018 con l’attuazione tecnica delle modalità di cessazione della qualifica di rifiuto (granulato di conglomerato bituminoso) e la generazione di un materiale (</w:t>
      </w:r>
      <w:r w:rsidRPr="00162E69">
        <w:rPr>
          <w:i/>
          <w:szCs w:val="24"/>
        </w:rPr>
        <w:t>end of west</w:t>
      </w:r>
      <w:r w:rsidRPr="00162E69">
        <w:rPr>
          <w:szCs w:val="24"/>
        </w:rPr>
        <w:t>) reimpiegabile ( art.184-ter, comma 1 lettera a) del D. Lgs.152/2006) tra gli altri, per la produzione di aggregati nella costruzione di strade in conformità alla norma armonizzata Uni En 13242 ad esclusione dei recuperi ambientali.</w:t>
      </w:r>
    </w:p>
    <w:p w14:paraId="06E84F8E" w14:textId="77777777" w:rsidR="00E0044C" w:rsidRPr="00162E69" w:rsidRDefault="00E0044C" w:rsidP="00E0044C">
      <w:pPr>
        <w:rPr>
          <w:szCs w:val="24"/>
        </w:rPr>
      </w:pPr>
      <w:r w:rsidRPr="00162E69">
        <w:rPr>
          <w:szCs w:val="24"/>
        </w:rPr>
        <w:t>In conclusione si evidenzia l’ottemperanza agli obblighi di legge in materia ambientale con la compilazione e tenuta dei registri di carico/scarico dei rifiuti sia prodotti che recuperati e con la presentazione, nei termini di legge (30 aprile), del modello unico di dichiarazione ambientale (MUD) per ogni singolo anno di riferimento.</w:t>
      </w:r>
    </w:p>
    <w:p w14:paraId="1940BE66" w14:textId="77777777" w:rsidR="00E0044C" w:rsidRPr="00162E69" w:rsidRDefault="00E0044C" w:rsidP="00E0044C">
      <w:pPr>
        <w:rPr>
          <w:szCs w:val="24"/>
        </w:rPr>
      </w:pPr>
      <w:r w:rsidRPr="00162E69">
        <w:rPr>
          <w:szCs w:val="24"/>
        </w:rPr>
        <w:t xml:space="preserve">Merita infine di essere sottolineata la pianificazione di ulteriori attività di </w:t>
      </w:r>
      <w:r w:rsidRPr="00162E69">
        <w:rPr>
          <w:szCs w:val="24"/>
        </w:rPr>
        <w:lastRenderedPageBreak/>
        <w:t xml:space="preserve">formazione rivolte sia al personale tecnico che operativo per rafforzare una sensibilità aziendale verso l’Ambiente che recentemente ha assurto un rango costituzionale e come </w:t>
      </w:r>
      <w:r w:rsidRPr="00162E69">
        <w:rPr>
          <w:i/>
          <w:iCs/>
          <w:szCs w:val="24"/>
        </w:rPr>
        <w:t>refresh</w:t>
      </w:r>
      <w:r w:rsidRPr="00162E69">
        <w:rPr>
          <w:szCs w:val="24"/>
        </w:rPr>
        <w:t xml:space="preserve"> formativo dei vari adempimenti di legge.</w:t>
      </w:r>
    </w:p>
    <w:p w14:paraId="63D5114A" w14:textId="77777777" w:rsidR="00EC7A54" w:rsidRPr="00162E69" w:rsidRDefault="00EC7A54" w:rsidP="00EC7A54">
      <w:pPr>
        <w:rPr>
          <w:szCs w:val="24"/>
        </w:rPr>
      </w:pPr>
      <w:r w:rsidRPr="00162E69">
        <w:rPr>
          <w:szCs w:val="24"/>
        </w:rPr>
        <w:t xml:space="preserve">Per quanto concerne le prospettive dell’economia nazionale per l’esercizio </w:t>
      </w:r>
      <w:r w:rsidR="00B80A34" w:rsidRPr="00162E69">
        <w:rPr>
          <w:szCs w:val="24"/>
        </w:rPr>
        <w:t>2022</w:t>
      </w:r>
      <w:r w:rsidRPr="00162E69">
        <w:rPr>
          <w:szCs w:val="24"/>
        </w:rPr>
        <w:t xml:space="preserve">, per le considerazioni sopra cennate, paiono orientate nella direzione di crescita. </w:t>
      </w:r>
    </w:p>
    <w:p w14:paraId="0005339B" w14:textId="77777777" w:rsidR="005F3A3C" w:rsidRPr="00162E69" w:rsidRDefault="005F3A3C" w:rsidP="005717B3">
      <w:pPr>
        <w:rPr>
          <w:b/>
          <w:szCs w:val="24"/>
        </w:rPr>
      </w:pPr>
      <w:r w:rsidRPr="00162E69">
        <w:rPr>
          <w:b/>
          <w:szCs w:val="24"/>
        </w:rPr>
        <w:t>Attestazione SOA</w:t>
      </w:r>
    </w:p>
    <w:p w14:paraId="62996E1D" w14:textId="77777777" w:rsidR="005F3A3C" w:rsidRPr="00162E69" w:rsidRDefault="005F3A3C" w:rsidP="005717B3">
      <w:pPr>
        <w:rPr>
          <w:rStyle w:val="Enfasigrassetto"/>
          <w:b w:val="0"/>
          <w:szCs w:val="24"/>
        </w:rPr>
      </w:pPr>
      <w:r w:rsidRPr="00162E69">
        <w:rPr>
          <w:szCs w:val="24"/>
        </w:rPr>
        <w:t>La Vostra Impresa</w:t>
      </w:r>
      <w:r w:rsidR="006B10C6" w:rsidRPr="00162E69">
        <w:rPr>
          <w:rStyle w:val="Enfasigrassetto"/>
          <w:b w:val="0"/>
          <w:szCs w:val="24"/>
        </w:rPr>
        <w:t xml:space="preserve"> ha conseguito in data 10 luglio 2019 dall’Organismo di attestazione La Soatech Spa attestazione n. 32215/17/00 </w:t>
      </w:r>
      <w:r w:rsidR="00014D4F" w:rsidRPr="00162E69">
        <w:rPr>
          <w:rStyle w:val="Enfasigrassetto"/>
          <w:b w:val="0"/>
          <w:szCs w:val="24"/>
        </w:rPr>
        <w:t>che ricomprende le seguenti 21 categorie</w:t>
      </w:r>
      <w:r w:rsidR="002B4194" w:rsidRPr="00162E69">
        <w:rPr>
          <w:rStyle w:val="Enfasigrassetto"/>
          <w:b w:val="0"/>
          <w:szCs w:val="24"/>
        </w:rPr>
        <w:t xml:space="preserve"> per la quale ha ora in corso procedura volta a conseguirne la confermazione per ulteriori due anni</w:t>
      </w:r>
      <w:r w:rsidR="00014D4F" w:rsidRPr="00162E69">
        <w:rPr>
          <w:rStyle w:val="Enfasigrassetto"/>
          <w:b w:val="0"/>
          <w:szCs w:val="24"/>
        </w:rPr>
        <w:t>:</w:t>
      </w:r>
    </w:p>
    <w:p w14:paraId="33224034" w14:textId="77777777" w:rsidR="00014D4F" w:rsidRPr="00162E69" w:rsidRDefault="00014D4F" w:rsidP="005717B3">
      <w:pPr>
        <w:rPr>
          <w:rStyle w:val="Enfasigrassetto"/>
          <w:b w:val="0"/>
          <w:szCs w:val="24"/>
        </w:rPr>
      </w:pPr>
      <w:r w:rsidRPr="00162E69">
        <w:rPr>
          <w:rStyle w:val="Enfasigrassetto"/>
          <w:b w:val="0"/>
          <w:szCs w:val="24"/>
        </w:rPr>
        <w:t>OG</w:t>
      </w:r>
      <w:r w:rsidR="00D41E8A" w:rsidRPr="00162E69">
        <w:rPr>
          <w:rStyle w:val="Enfasigrassetto"/>
          <w:b w:val="0"/>
          <w:szCs w:val="24"/>
        </w:rPr>
        <w:t xml:space="preserve"> </w:t>
      </w:r>
      <w:r w:rsidRPr="00162E69">
        <w:rPr>
          <w:rStyle w:val="Enfasigrassetto"/>
          <w:b w:val="0"/>
          <w:szCs w:val="24"/>
        </w:rPr>
        <w:t>1</w:t>
      </w:r>
      <w:r w:rsidR="00D41E8A" w:rsidRPr="00162E69">
        <w:rPr>
          <w:rStyle w:val="Enfasigrassetto"/>
          <w:b w:val="0"/>
          <w:szCs w:val="24"/>
        </w:rPr>
        <w:t xml:space="preserve"> </w:t>
      </w:r>
      <w:r w:rsidR="00C15953" w:rsidRPr="00162E69">
        <w:rPr>
          <w:rStyle w:val="Enfasigrassetto"/>
          <w:b w:val="0"/>
          <w:szCs w:val="24"/>
        </w:rPr>
        <w:t xml:space="preserve"> “Edifici civili ed industriali”</w:t>
      </w:r>
      <w:r w:rsidRPr="00162E69">
        <w:rPr>
          <w:rStyle w:val="Enfasigrassetto"/>
          <w:b w:val="0"/>
          <w:szCs w:val="24"/>
        </w:rPr>
        <w:t xml:space="preserve"> per Classifica III Bis;</w:t>
      </w:r>
    </w:p>
    <w:p w14:paraId="4405E148" w14:textId="77777777" w:rsidR="00014D4F" w:rsidRPr="00162E69" w:rsidRDefault="00014D4F" w:rsidP="00014D4F">
      <w:pPr>
        <w:rPr>
          <w:rStyle w:val="Enfasigrassetto"/>
          <w:b w:val="0"/>
          <w:szCs w:val="24"/>
        </w:rPr>
      </w:pPr>
      <w:r w:rsidRPr="00162E69">
        <w:rPr>
          <w:rStyle w:val="Enfasigrassetto"/>
          <w:b w:val="0"/>
          <w:szCs w:val="24"/>
        </w:rPr>
        <w:t>OG 3</w:t>
      </w:r>
      <w:r w:rsidR="00C15953" w:rsidRPr="00162E69">
        <w:rPr>
          <w:rStyle w:val="Enfasigrassetto"/>
          <w:b w:val="0"/>
          <w:szCs w:val="24"/>
        </w:rPr>
        <w:t xml:space="preserve"> “Strade autostrade ponti viadotti ferrovie metropolitane</w:t>
      </w:r>
      <w:r w:rsidRPr="00162E69">
        <w:rPr>
          <w:rStyle w:val="Enfasigrassetto"/>
          <w:b w:val="0"/>
          <w:szCs w:val="24"/>
        </w:rPr>
        <w:t xml:space="preserve"> per Classifica VIII;</w:t>
      </w:r>
    </w:p>
    <w:p w14:paraId="30A0718E" w14:textId="77777777" w:rsidR="00014D4F" w:rsidRPr="00162E69" w:rsidRDefault="00014D4F" w:rsidP="00014D4F">
      <w:pPr>
        <w:rPr>
          <w:rStyle w:val="Enfasigrassetto"/>
          <w:b w:val="0"/>
          <w:szCs w:val="24"/>
        </w:rPr>
      </w:pPr>
      <w:r w:rsidRPr="00162E69">
        <w:rPr>
          <w:rStyle w:val="Enfasigrassetto"/>
          <w:b w:val="0"/>
          <w:szCs w:val="24"/>
        </w:rPr>
        <w:t>OG</w:t>
      </w:r>
      <w:r w:rsidR="00D41E8A" w:rsidRPr="00162E69">
        <w:rPr>
          <w:rStyle w:val="Enfasigrassetto"/>
          <w:b w:val="0"/>
          <w:szCs w:val="24"/>
        </w:rPr>
        <w:t xml:space="preserve"> </w:t>
      </w:r>
      <w:r w:rsidRPr="00162E69">
        <w:rPr>
          <w:rStyle w:val="Enfasigrassetto"/>
          <w:b w:val="0"/>
          <w:szCs w:val="24"/>
        </w:rPr>
        <w:t>4</w:t>
      </w:r>
      <w:r w:rsidR="00D41E8A" w:rsidRPr="00162E69">
        <w:rPr>
          <w:rStyle w:val="Enfasigrassetto"/>
          <w:b w:val="0"/>
          <w:szCs w:val="24"/>
        </w:rPr>
        <w:t xml:space="preserve"> “Opere d’arte nel sottosuolo”</w:t>
      </w:r>
      <w:r w:rsidRPr="00162E69">
        <w:rPr>
          <w:rStyle w:val="Enfasigrassetto"/>
          <w:b w:val="0"/>
          <w:szCs w:val="24"/>
        </w:rPr>
        <w:t xml:space="preserve"> per Classifica VII;</w:t>
      </w:r>
    </w:p>
    <w:p w14:paraId="16312BBB" w14:textId="77777777" w:rsidR="00014D4F" w:rsidRPr="00162E69" w:rsidRDefault="00014D4F" w:rsidP="00014D4F">
      <w:pPr>
        <w:rPr>
          <w:rStyle w:val="Enfasigrassetto"/>
          <w:b w:val="0"/>
          <w:szCs w:val="24"/>
        </w:rPr>
      </w:pPr>
      <w:r w:rsidRPr="00162E69">
        <w:rPr>
          <w:rStyle w:val="Enfasigrassetto"/>
          <w:b w:val="0"/>
          <w:szCs w:val="24"/>
        </w:rPr>
        <w:t xml:space="preserve">OG6 </w:t>
      </w:r>
      <w:r w:rsidR="00D41E8A" w:rsidRPr="00162E69">
        <w:rPr>
          <w:rStyle w:val="Enfasigrassetto"/>
          <w:b w:val="0"/>
          <w:szCs w:val="24"/>
        </w:rPr>
        <w:t xml:space="preserve"> “Acquedotti, gasdotti, oleodotti, opere d’irrigazione” </w:t>
      </w:r>
      <w:r w:rsidRPr="00162E69">
        <w:rPr>
          <w:rStyle w:val="Enfasigrassetto"/>
          <w:b w:val="0"/>
          <w:szCs w:val="24"/>
        </w:rPr>
        <w:t>per Classifica III Bis;</w:t>
      </w:r>
    </w:p>
    <w:p w14:paraId="776761EC" w14:textId="77777777" w:rsidR="00014D4F" w:rsidRPr="00162E69" w:rsidRDefault="00014D4F" w:rsidP="00014D4F">
      <w:pPr>
        <w:rPr>
          <w:rStyle w:val="Enfasigrassetto"/>
          <w:b w:val="0"/>
          <w:szCs w:val="24"/>
        </w:rPr>
      </w:pPr>
      <w:r w:rsidRPr="00162E69">
        <w:rPr>
          <w:rStyle w:val="Enfasigrassetto"/>
          <w:b w:val="0"/>
          <w:szCs w:val="24"/>
        </w:rPr>
        <w:t>OG8</w:t>
      </w:r>
      <w:r w:rsidR="00D41E8A" w:rsidRPr="00162E69">
        <w:rPr>
          <w:rStyle w:val="Enfasigrassetto"/>
          <w:b w:val="0"/>
          <w:szCs w:val="24"/>
        </w:rPr>
        <w:t xml:space="preserve">  “Opere fluviali, di difesa, di sistemazione idraulica”</w:t>
      </w:r>
      <w:r w:rsidRPr="00162E69">
        <w:rPr>
          <w:rStyle w:val="Enfasigrassetto"/>
          <w:b w:val="0"/>
          <w:szCs w:val="24"/>
        </w:rPr>
        <w:t xml:space="preserve"> per Classifica I;</w:t>
      </w:r>
    </w:p>
    <w:p w14:paraId="54249564" w14:textId="77777777" w:rsidR="00014D4F" w:rsidRPr="00162E69" w:rsidRDefault="00014D4F" w:rsidP="00014D4F">
      <w:pPr>
        <w:rPr>
          <w:rStyle w:val="Enfasigrassetto"/>
          <w:b w:val="0"/>
          <w:szCs w:val="24"/>
        </w:rPr>
      </w:pPr>
      <w:r w:rsidRPr="00162E69">
        <w:rPr>
          <w:rStyle w:val="Enfasigrassetto"/>
          <w:b w:val="0"/>
          <w:szCs w:val="24"/>
        </w:rPr>
        <w:t>OG10</w:t>
      </w:r>
      <w:r w:rsidR="00D41E8A" w:rsidRPr="00162E69">
        <w:rPr>
          <w:rStyle w:val="Enfasigrassetto"/>
          <w:b w:val="0"/>
          <w:szCs w:val="24"/>
        </w:rPr>
        <w:t xml:space="preserve">  “Impianti di trasformazione alta/media tensione”</w:t>
      </w:r>
      <w:r w:rsidRPr="00162E69">
        <w:rPr>
          <w:rStyle w:val="Enfasigrassetto"/>
          <w:b w:val="0"/>
          <w:szCs w:val="24"/>
        </w:rPr>
        <w:t xml:space="preserve"> per Classifica VI;</w:t>
      </w:r>
    </w:p>
    <w:p w14:paraId="1A840482" w14:textId="77777777" w:rsidR="00014D4F" w:rsidRPr="00162E69" w:rsidRDefault="00014D4F" w:rsidP="00014D4F">
      <w:pPr>
        <w:rPr>
          <w:rStyle w:val="Enfasigrassetto"/>
          <w:b w:val="0"/>
          <w:szCs w:val="24"/>
        </w:rPr>
      </w:pPr>
      <w:r w:rsidRPr="00162E69">
        <w:rPr>
          <w:rStyle w:val="Enfasigrassetto"/>
          <w:b w:val="0"/>
          <w:szCs w:val="24"/>
        </w:rPr>
        <w:t xml:space="preserve">OG11 </w:t>
      </w:r>
      <w:r w:rsidR="00D41E8A" w:rsidRPr="00162E69">
        <w:rPr>
          <w:rStyle w:val="Enfasigrassetto"/>
          <w:b w:val="0"/>
          <w:szCs w:val="24"/>
        </w:rPr>
        <w:t>“Impianti tecnologici”</w:t>
      </w:r>
      <w:r w:rsidR="008715A7" w:rsidRPr="00162E69">
        <w:rPr>
          <w:rStyle w:val="Enfasigrassetto"/>
          <w:b w:val="0"/>
          <w:szCs w:val="24"/>
        </w:rPr>
        <w:t xml:space="preserve"> </w:t>
      </w:r>
      <w:r w:rsidRPr="00162E69">
        <w:rPr>
          <w:rStyle w:val="Enfasigrassetto"/>
          <w:b w:val="0"/>
          <w:szCs w:val="24"/>
        </w:rPr>
        <w:t>per Classifica IV Bis;</w:t>
      </w:r>
    </w:p>
    <w:p w14:paraId="55ADA746" w14:textId="77777777" w:rsidR="00014D4F" w:rsidRPr="00162E69" w:rsidRDefault="00014D4F" w:rsidP="00014D4F">
      <w:pPr>
        <w:rPr>
          <w:rStyle w:val="Enfasigrassetto"/>
          <w:b w:val="0"/>
          <w:szCs w:val="24"/>
        </w:rPr>
      </w:pPr>
      <w:r w:rsidRPr="00162E69">
        <w:rPr>
          <w:rStyle w:val="Enfasigrassetto"/>
          <w:b w:val="0"/>
          <w:szCs w:val="24"/>
        </w:rPr>
        <w:t xml:space="preserve">OS1 </w:t>
      </w:r>
      <w:r w:rsidR="008715A7" w:rsidRPr="00162E69">
        <w:rPr>
          <w:rStyle w:val="Enfasigrassetto"/>
          <w:b w:val="0"/>
          <w:szCs w:val="24"/>
        </w:rPr>
        <w:t xml:space="preserve">“Lavori in terra” </w:t>
      </w:r>
      <w:r w:rsidRPr="00162E69">
        <w:rPr>
          <w:rStyle w:val="Enfasigrassetto"/>
          <w:b w:val="0"/>
          <w:szCs w:val="24"/>
        </w:rPr>
        <w:t>per Classifica V;</w:t>
      </w:r>
    </w:p>
    <w:p w14:paraId="01F6FD2D" w14:textId="77777777" w:rsidR="00014D4F" w:rsidRPr="00162E69" w:rsidRDefault="00D33A24" w:rsidP="00D33A24">
      <w:pPr>
        <w:rPr>
          <w:rStyle w:val="Enfasigrassetto"/>
          <w:b w:val="0"/>
          <w:szCs w:val="24"/>
        </w:rPr>
      </w:pPr>
      <w:r w:rsidRPr="00162E69">
        <w:rPr>
          <w:rStyle w:val="Enfasigrassetto"/>
          <w:b w:val="0"/>
          <w:szCs w:val="24"/>
        </w:rPr>
        <w:t xml:space="preserve">OS3 </w:t>
      </w:r>
      <w:r w:rsidR="008715A7" w:rsidRPr="00162E69">
        <w:rPr>
          <w:rStyle w:val="Enfasigrassetto"/>
          <w:b w:val="0"/>
          <w:szCs w:val="24"/>
        </w:rPr>
        <w:t xml:space="preserve">“ Impianti idrico sanitari” </w:t>
      </w:r>
      <w:r w:rsidRPr="00162E69">
        <w:rPr>
          <w:rStyle w:val="Enfasigrassetto"/>
          <w:b w:val="0"/>
          <w:szCs w:val="24"/>
        </w:rPr>
        <w:t>per Classifica IV;</w:t>
      </w:r>
    </w:p>
    <w:p w14:paraId="7B5B6B87" w14:textId="77777777" w:rsidR="00D33A24" w:rsidRPr="00162E69" w:rsidRDefault="00D33A24" w:rsidP="00D33A24">
      <w:pPr>
        <w:rPr>
          <w:szCs w:val="24"/>
        </w:rPr>
      </w:pPr>
      <w:r w:rsidRPr="00162E69">
        <w:rPr>
          <w:rStyle w:val="Enfasigrassetto"/>
          <w:b w:val="0"/>
          <w:szCs w:val="24"/>
        </w:rPr>
        <w:t xml:space="preserve">OS4 </w:t>
      </w:r>
      <w:r w:rsidR="008715A7" w:rsidRPr="00162E69">
        <w:rPr>
          <w:rStyle w:val="Enfasigrassetto"/>
          <w:b w:val="0"/>
          <w:szCs w:val="24"/>
        </w:rPr>
        <w:t xml:space="preserve">“Impianti elettromeccanici trasportatori” </w:t>
      </w:r>
      <w:r w:rsidRPr="00162E69">
        <w:rPr>
          <w:rStyle w:val="Enfasigrassetto"/>
          <w:b w:val="0"/>
          <w:szCs w:val="24"/>
        </w:rPr>
        <w:t>per Classifica I;</w:t>
      </w:r>
    </w:p>
    <w:p w14:paraId="7D39257C" w14:textId="77777777" w:rsidR="005717B3" w:rsidRPr="00162E69" w:rsidRDefault="00D33A24" w:rsidP="00D33A24">
      <w:pPr>
        <w:rPr>
          <w:rStyle w:val="Enfasigrassetto"/>
          <w:b w:val="0"/>
          <w:szCs w:val="24"/>
        </w:rPr>
      </w:pPr>
      <w:r w:rsidRPr="00162E69">
        <w:rPr>
          <w:szCs w:val="24"/>
        </w:rPr>
        <w:t xml:space="preserve">OS9 </w:t>
      </w:r>
      <w:r w:rsidR="008715A7" w:rsidRPr="00162E69">
        <w:rPr>
          <w:szCs w:val="24"/>
        </w:rPr>
        <w:t xml:space="preserve">“ Impianti per la segnaletica luminosa” </w:t>
      </w:r>
      <w:r w:rsidRPr="00162E69">
        <w:rPr>
          <w:rStyle w:val="Enfasigrassetto"/>
          <w:b w:val="0"/>
          <w:szCs w:val="24"/>
        </w:rPr>
        <w:t>per Classifica I;</w:t>
      </w:r>
    </w:p>
    <w:p w14:paraId="145FF82A" w14:textId="77777777" w:rsidR="00D33A24" w:rsidRPr="00162E69" w:rsidRDefault="00D33A24" w:rsidP="00D33A24">
      <w:pPr>
        <w:rPr>
          <w:rStyle w:val="Enfasigrassetto"/>
          <w:b w:val="0"/>
          <w:szCs w:val="24"/>
        </w:rPr>
      </w:pPr>
      <w:r w:rsidRPr="00162E69">
        <w:rPr>
          <w:rStyle w:val="Enfasigrassetto"/>
          <w:b w:val="0"/>
          <w:szCs w:val="24"/>
        </w:rPr>
        <w:t xml:space="preserve">OS10 </w:t>
      </w:r>
      <w:r w:rsidR="008715A7" w:rsidRPr="00162E69">
        <w:rPr>
          <w:rStyle w:val="Enfasigrassetto"/>
          <w:b w:val="0"/>
          <w:szCs w:val="24"/>
        </w:rPr>
        <w:t>“Segnaletica non luminosa”</w:t>
      </w:r>
      <w:r w:rsidR="00EC7A54" w:rsidRPr="00162E69">
        <w:rPr>
          <w:rStyle w:val="Enfasigrassetto"/>
          <w:b w:val="0"/>
          <w:szCs w:val="24"/>
        </w:rPr>
        <w:t xml:space="preserve"> </w:t>
      </w:r>
      <w:r w:rsidRPr="00162E69">
        <w:rPr>
          <w:rStyle w:val="Enfasigrassetto"/>
          <w:b w:val="0"/>
          <w:szCs w:val="24"/>
        </w:rPr>
        <w:t>per Classifica V;</w:t>
      </w:r>
    </w:p>
    <w:p w14:paraId="40C02F4F" w14:textId="77777777" w:rsidR="00D33A24" w:rsidRPr="00162E69" w:rsidRDefault="00D33A24" w:rsidP="00D33A24">
      <w:pPr>
        <w:rPr>
          <w:rStyle w:val="Enfasigrassetto"/>
          <w:b w:val="0"/>
          <w:szCs w:val="24"/>
        </w:rPr>
      </w:pPr>
      <w:r w:rsidRPr="00162E69">
        <w:rPr>
          <w:rStyle w:val="Enfasigrassetto"/>
          <w:b w:val="0"/>
          <w:szCs w:val="24"/>
        </w:rPr>
        <w:t xml:space="preserve">OS11 </w:t>
      </w:r>
      <w:r w:rsidR="008715A7" w:rsidRPr="00162E69">
        <w:rPr>
          <w:rStyle w:val="Enfasigrassetto"/>
          <w:b w:val="0"/>
          <w:szCs w:val="24"/>
        </w:rPr>
        <w:t xml:space="preserve">“Impianti strutturali speciali” </w:t>
      </w:r>
      <w:r w:rsidRPr="00162E69">
        <w:rPr>
          <w:rStyle w:val="Enfasigrassetto"/>
          <w:b w:val="0"/>
          <w:szCs w:val="24"/>
        </w:rPr>
        <w:t>per Classifica V;</w:t>
      </w:r>
    </w:p>
    <w:p w14:paraId="27E3D18D" w14:textId="77777777" w:rsidR="00D33A24" w:rsidRPr="00162E69" w:rsidRDefault="00D33A24" w:rsidP="00D33A24">
      <w:pPr>
        <w:rPr>
          <w:rStyle w:val="Enfasigrassetto"/>
          <w:b w:val="0"/>
          <w:szCs w:val="24"/>
        </w:rPr>
      </w:pPr>
      <w:r w:rsidRPr="00162E69">
        <w:rPr>
          <w:rStyle w:val="Enfasigrassetto"/>
          <w:b w:val="0"/>
          <w:szCs w:val="24"/>
        </w:rPr>
        <w:lastRenderedPageBreak/>
        <w:t>OS19</w:t>
      </w:r>
      <w:r w:rsidR="008715A7" w:rsidRPr="00162E69">
        <w:rPr>
          <w:rStyle w:val="Enfasigrassetto"/>
          <w:b w:val="0"/>
          <w:szCs w:val="24"/>
        </w:rPr>
        <w:t xml:space="preserve"> “impianti di reti di telecomunicazione”</w:t>
      </w:r>
      <w:r w:rsidRPr="00162E69">
        <w:rPr>
          <w:rStyle w:val="Enfasigrassetto"/>
          <w:b w:val="0"/>
          <w:szCs w:val="24"/>
        </w:rPr>
        <w:t xml:space="preserve"> per Classifica II;</w:t>
      </w:r>
    </w:p>
    <w:p w14:paraId="69EADE9E" w14:textId="77777777" w:rsidR="00D33A24" w:rsidRPr="00162E69" w:rsidRDefault="00D33A24" w:rsidP="00D33A24">
      <w:pPr>
        <w:rPr>
          <w:rStyle w:val="Enfasigrassetto"/>
          <w:b w:val="0"/>
          <w:szCs w:val="24"/>
        </w:rPr>
      </w:pPr>
      <w:r w:rsidRPr="00162E69">
        <w:rPr>
          <w:rStyle w:val="Enfasigrassetto"/>
          <w:b w:val="0"/>
          <w:szCs w:val="24"/>
        </w:rPr>
        <w:t xml:space="preserve">OS21 </w:t>
      </w:r>
      <w:r w:rsidR="008715A7" w:rsidRPr="00162E69">
        <w:rPr>
          <w:rStyle w:val="Enfasigrassetto"/>
          <w:b w:val="0"/>
          <w:szCs w:val="24"/>
        </w:rPr>
        <w:t xml:space="preserve">“Opere strutturali speciali” </w:t>
      </w:r>
      <w:r w:rsidRPr="00162E69">
        <w:rPr>
          <w:rStyle w:val="Enfasigrassetto"/>
          <w:b w:val="0"/>
          <w:szCs w:val="24"/>
        </w:rPr>
        <w:t>per Classifica III;</w:t>
      </w:r>
    </w:p>
    <w:p w14:paraId="726B4FC7" w14:textId="77777777" w:rsidR="00D33A24" w:rsidRPr="00162E69" w:rsidRDefault="00D33A24" w:rsidP="00D33A24">
      <w:pPr>
        <w:rPr>
          <w:rStyle w:val="Enfasigrassetto"/>
          <w:b w:val="0"/>
          <w:szCs w:val="24"/>
        </w:rPr>
      </w:pPr>
      <w:r w:rsidRPr="00162E69">
        <w:rPr>
          <w:rStyle w:val="Enfasigrassetto"/>
          <w:b w:val="0"/>
          <w:szCs w:val="24"/>
        </w:rPr>
        <w:t xml:space="preserve">OS23 </w:t>
      </w:r>
      <w:r w:rsidR="008715A7" w:rsidRPr="00162E69">
        <w:rPr>
          <w:rStyle w:val="Enfasigrassetto"/>
          <w:b w:val="0"/>
          <w:szCs w:val="24"/>
        </w:rPr>
        <w:t xml:space="preserve">“Demolizione di opere” </w:t>
      </w:r>
      <w:r w:rsidRPr="00162E69">
        <w:rPr>
          <w:rStyle w:val="Enfasigrassetto"/>
          <w:b w:val="0"/>
          <w:szCs w:val="24"/>
        </w:rPr>
        <w:t>per Classifica IV Bis;</w:t>
      </w:r>
    </w:p>
    <w:p w14:paraId="19E07337" w14:textId="77777777" w:rsidR="00D33A24" w:rsidRPr="00162E69" w:rsidRDefault="00D33A24" w:rsidP="00D33A24">
      <w:pPr>
        <w:rPr>
          <w:rStyle w:val="Enfasigrassetto"/>
          <w:b w:val="0"/>
          <w:szCs w:val="24"/>
        </w:rPr>
      </w:pPr>
      <w:r w:rsidRPr="00162E69">
        <w:rPr>
          <w:rStyle w:val="Enfasigrassetto"/>
          <w:b w:val="0"/>
          <w:szCs w:val="24"/>
        </w:rPr>
        <w:t>OS24</w:t>
      </w:r>
      <w:r w:rsidR="008715A7" w:rsidRPr="00162E69">
        <w:rPr>
          <w:rStyle w:val="Enfasigrassetto"/>
          <w:b w:val="0"/>
          <w:szCs w:val="24"/>
        </w:rPr>
        <w:t xml:space="preserve"> “Verde e arredo urbano” </w:t>
      </w:r>
      <w:r w:rsidRPr="00162E69">
        <w:rPr>
          <w:rStyle w:val="Enfasigrassetto"/>
          <w:b w:val="0"/>
          <w:szCs w:val="24"/>
        </w:rPr>
        <w:t xml:space="preserve"> per Classifica IV Bis;</w:t>
      </w:r>
    </w:p>
    <w:p w14:paraId="52B0CA70" w14:textId="77777777" w:rsidR="00D33A24" w:rsidRPr="00162E69" w:rsidRDefault="00D33A24" w:rsidP="00D33A24">
      <w:pPr>
        <w:rPr>
          <w:rStyle w:val="Enfasigrassetto"/>
          <w:b w:val="0"/>
          <w:szCs w:val="24"/>
        </w:rPr>
      </w:pPr>
      <w:r w:rsidRPr="00162E69">
        <w:rPr>
          <w:rStyle w:val="Enfasigrassetto"/>
          <w:b w:val="0"/>
          <w:szCs w:val="24"/>
        </w:rPr>
        <w:t xml:space="preserve">OS28 </w:t>
      </w:r>
      <w:r w:rsidR="00937E5B" w:rsidRPr="00162E69">
        <w:rPr>
          <w:rStyle w:val="Enfasigrassetto"/>
          <w:b w:val="0"/>
          <w:szCs w:val="24"/>
        </w:rPr>
        <w:t xml:space="preserve">“ Impianti termici e di condizionamento” </w:t>
      </w:r>
      <w:r w:rsidRPr="00162E69">
        <w:rPr>
          <w:rStyle w:val="Enfasigrassetto"/>
          <w:b w:val="0"/>
          <w:szCs w:val="24"/>
        </w:rPr>
        <w:t>per Classifica II;</w:t>
      </w:r>
    </w:p>
    <w:p w14:paraId="63531323" w14:textId="77777777" w:rsidR="00D33A24" w:rsidRPr="00162E69" w:rsidRDefault="00D33A24" w:rsidP="00D33A24">
      <w:pPr>
        <w:rPr>
          <w:rStyle w:val="Enfasigrassetto"/>
          <w:b w:val="0"/>
          <w:szCs w:val="24"/>
        </w:rPr>
      </w:pPr>
      <w:r w:rsidRPr="00162E69">
        <w:rPr>
          <w:rStyle w:val="Enfasigrassetto"/>
          <w:b w:val="0"/>
          <w:szCs w:val="24"/>
        </w:rPr>
        <w:t xml:space="preserve">OS12-A </w:t>
      </w:r>
      <w:r w:rsidR="00937E5B" w:rsidRPr="00162E69">
        <w:rPr>
          <w:rStyle w:val="Enfasigrassetto"/>
          <w:b w:val="0"/>
          <w:szCs w:val="24"/>
        </w:rPr>
        <w:t xml:space="preserve">“Barriere stradali di sicurezza” </w:t>
      </w:r>
      <w:r w:rsidRPr="00162E69">
        <w:rPr>
          <w:rStyle w:val="Enfasigrassetto"/>
          <w:b w:val="0"/>
          <w:szCs w:val="24"/>
        </w:rPr>
        <w:t>per Classifica V;</w:t>
      </w:r>
    </w:p>
    <w:p w14:paraId="05120780" w14:textId="77777777" w:rsidR="00D33A24" w:rsidRPr="00162E69" w:rsidRDefault="00D33A24" w:rsidP="00D33A24">
      <w:pPr>
        <w:rPr>
          <w:rStyle w:val="Enfasigrassetto"/>
          <w:b w:val="0"/>
          <w:szCs w:val="24"/>
        </w:rPr>
      </w:pPr>
      <w:r w:rsidRPr="00162E69">
        <w:rPr>
          <w:rStyle w:val="Enfasigrassetto"/>
          <w:b w:val="0"/>
          <w:szCs w:val="24"/>
        </w:rPr>
        <w:t>OS12-</w:t>
      </w:r>
      <w:r w:rsidR="00766260" w:rsidRPr="00162E69">
        <w:rPr>
          <w:rStyle w:val="Enfasigrassetto"/>
          <w:b w:val="0"/>
          <w:szCs w:val="24"/>
        </w:rPr>
        <w:t>B</w:t>
      </w:r>
      <w:r w:rsidRPr="00162E69">
        <w:rPr>
          <w:rStyle w:val="Enfasigrassetto"/>
          <w:b w:val="0"/>
          <w:szCs w:val="24"/>
        </w:rPr>
        <w:t xml:space="preserve"> </w:t>
      </w:r>
      <w:r w:rsidR="00937E5B" w:rsidRPr="00162E69">
        <w:rPr>
          <w:rStyle w:val="Enfasigrassetto"/>
          <w:b w:val="0"/>
          <w:szCs w:val="24"/>
        </w:rPr>
        <w:t>“Barriere paramassi, ferma</w:t>
      </w:r>
      <w:r w:rsidR="00EC7A54" w:rsidRPr="00162E69">
        <w:rPr>
          <w:rStyle w:val="Enfasigrassetto"/>
          <w:b w:val="0"/>
          <w:szCs w:val="24"/>
        </w:rPr>
        <w:t xml:space="preserve"> </w:t>
      </w:r>
      <w:r w:rsidR="00937E5B" w:rsidRPr="00162E69">
        <w:rPr>
          <w:rStyle w:val="Enfasigrassetto"/>
          <w:b w:val="0"/>
          <w:szCs w:val="24"/>
        </w:rPr>
        <w:t xml:space="preserve">neve e simili” </w:t>
      </w:r>
      <w:r w:rsidRPr="00162E69">
        <w:rPr>
          <w:rStyle w:val="Enfasigrassetto"/>
          <w:b w:val="0"/>
          <w:szCs w:val="24"/>
        </w:rPr>
        <w:t xml:space="preserve">per Classifica </w:t>
      </w:r>
      <w:r w:rsidR="00766260" w:rsidRPr="00162E69">
        <w:rPr>
          <w:rStyle w:val="Enfasigrassetto"/>
          <w:b w:val="0"/>
          <w:szCs w:val="24"/>
        </w:rPr>
        <w:t>II</w:t>
      </w:r>
      <w:r w:rsidRPr="00162E69">
        <w:rPr>
          <w:rStyle w:val="Enfasigrassetto"/>
          <w:b w:val="0"/>
          <w:szCs w:val="24"/>
        </w:rPr>
        <w:t>;</w:t>
      </w:r>
    </w:p>
    <w:p w14:paraId="1FB66E8D" w14:textId="77777777" w:rsidR="00766260" w:rsidRPr="00162E69" w:rsidRDefault="00766260" w:rsidP="00766260">
      <w:pPr>
        <w:rPr>
          <w:rStyle w:val="Enfasigrassetto"/>
          <w:b w:val="0"/>
          <w:szCs w:val="24"/>
        </w:rPr>
      </w:pPr>
      <w:r w:rsidRPr="00162E69">
        <w:rPr>
          <w:rStyle w:val="Enfasigrassetto"/>
          <w:b w:val="0"/>
          <w:szCs w:val="24"/>
        </w:rPr>
        <w:t>OS18-A</w:t>
      </w:r>
      <w:r w:rsidR="00937E5B" w:rsidRPr="00162E69">
        <w:rPr>
          <w:rStyle w:val="Enfasigrassetto"/>
          <w:b w:val="0"/>
          <w:szCs w:val="24"/>
        </w:rPr>
        <w:t xml:space="preserve"> “Componenti strutturali in acciaio”</w:t>
      </w:r>
      <w:r w:rsidRPr="00162E69">
        <w:rPr>
          <w:rStyle w:val="Enfasigrassetto"/>
          <w:b w:val="0"/>
          <w:szCs w:val="24"/>
        </w:rPr>
        <w:t xml:space="preserve"> per Classifica V.</w:t>
      </w:r>
    </w:p>
    <w:p w14:paraId="19021D9A" w14:textId="77777777" w:rsidR="00CA6852" w:rsidRDefault="00CA6852" w:rsidP="000717F8">
      <w:pPr>
        <w:rPr>
          <w:b/>
          <w:szCs w:val="24"/>
        </w:rPr>
      </w:pPr>
    </w:p>
    <w:p w14:paraId="34BBE1C7" w14:textId="04C1C729" w:rsidR="000717F8" w:rsidRPr="00162E69" w:rsidRDefault="000717F8" w:rsidP="000717F8">
      <w:pPr>
        <w:rPr>
          <w:szCs w:val="24"/>
        </w:rPr>
      </w:pPr>
      <w:r w:rsidRPr="00162E69">
        <w:rPr>
          <w:b/>
          <w:szCs w:val="24"/>
        </w:rPr>
        <w:t>Costo del Lavoro</w:t>
      </w:r>
    </w:p>
    <w:p w14:paraId="26D15EDE" w14:textId="77777777" w:rsidR="000717F8" w:rsidRPr="00162E69" w:rsidRDefault="000717F8" w:rsidP="000717F8">
      <w:pPr>
        <w:rPr>
          <w:szCs w:val="24"/>
        </w:rPr>
      </w:pPr>
      <w:r w:rsidRPr="00162E69">
        <w:rPr>
          <w:szCs w:val="24"/>
        </w:rPr>
        <w:t>Il costo del lavoro tra i due esercizi 2021-2020 propone una variazione in diminuzione pari allo 0,25% rispetto l’esercizio precedente, che di seguito viene rappresentata:</w:t>
      </w:r>
    </w:p>
    <w:p w14:paraId="493140BE" w14:textId="77777777" w:rsidR="000717F8" w:rsidRPr="00162E69" w:rsidRDefault="000717F8" w:rsidP="000717F8">
      <w:pPr>
        <w:rPr>
          <w:szCs w:val="24"/>
        </w:rPr>
      </w:pPr>
    </w:p>
    <w:tbl>
      <w:tblPr>
        <w:tblW w:w="7404" w:type="dxa"/>
        <w:tblInd w:w="55" w:type="dxa"/>
        <w:tblLayout w:type="fixed"/>
        <w:tblCellMar>
          <w:left w:w="70" w:type="dxa"/>
          <w:right w:w="70" w:type="dxa"/>
        </w:tblCellMar>
        <w:tblLook w:val="04A0" w:firstRow="1" w:lastRow="0" w:firstColumn="1" w:lastColumn="0" w:noHBand="0" w:noVBand="1"/>
      </w:tblPr>
      <w:tblGrid>
        <w:gridCol w:w="2634"/>
        <w:gridCol w:w="1590"/>
        <w:gridCol w:w="1590"/>
        <w:gridCol w:w="1590"/>
      </w:tblGrid>
      <w:tr w:rsidR="00162E69" w:rsidRPr="004D17AE" w14:paraId="75FA53AA" w14:textId="77777777" w:rsidTr="004D17AE">
        <w:trPr>
          <w:trHeight w:val="575"/>
        </w:trPr>
        <w:tc>
          <w:tcPr>
            <w:tcW w:w="2634" w:type="dxa"/>
            <w:tcBorders>
              <w:top w:val="single" w:sz="4" w:space="0" w:color="auto"/>
              <w:left w:val="single" w:sz="4" w:space="0" w:color="auto"/>
              <w:bottom w:val="single" w:sz="4" w:space="0" w:color="auto"/>
              <w:right w:val="single" w:sz="4" w:space="0" w:color="auto"/>
            </w:tcBorders>
            <w:shd w:val="clear" w:color="auto" w:fill="D0CECE" w:themeFill="background2" w:themeFillShade="E6"/>
            <w:noWrap/>
            <w:vAlign w:val="bottom"/>
            <w:hideMark/>
          </w:tcPr>
          <w:p w14:paraId="018D878D" w14:textId="77777777" w:rsidR="000717F8" w:rsidRPr="004D17AE" w:rsidRDefault="000717F8" w:rsidP="002D457C">
            <w:pPr>
              <w:widowControl/>
              <w:suppressAutoHyphens w:val="0"/>
              <w:overflowPunct/>
              <w:autoSpaceDE/>
              <w:autoSpaceDN/>
              <w:spacing w:line="240" w:lineRule="auto"/>
              <w:jc w:val="center"/>
              <w:textAlignment w:val="auto"/>
              <w:rPr>
                <w:b/>
                <w:bCs/>
                <w:sz w:val="20"/>
              </w:rPr>
            </w:pPr>
            <w:r w:rsidRPr="004D17AE">
              <w:rPr>
                <w:b/>
                <w:bCs/>
                <w:sz w:val="20"/>
              </w:rPr>
              <w:t>Voce di Spesa</w:t>
            </w:r>
          </w:p>
        </w:tc>
        <w:tc>
          <w:tcPr>
            <w:tcW w:w="1590" w:type="dxa"/>
            <w:tcBorders>
              <w:top w:val="single" w:sz="4" w:space="0" w:color="auto"/>
              <w:left w:val="nil"/>
              <w:bottom w:val="single" w:sz="4" w:space="0" w:color="auto"/>
              <w:right w:val="single" w:sz="4" w:space="0" w:color="auto"/>
            </w:tcBorders>
            <w:shd w:val="clear" w:color="auto" w:fill="D0CECE" w:themeFill="background2" w:themeFillShade="E6"/>
            <w:noWrap/>
            <w:vAlign w:val="bottom"/>
            <w:hideMark/>
          </w:tcPr>
          <w:p w14:paraId="2D95ED7D" w14:textId="77777777" w:rsidR="000717F8" w:rsidRPr="004D17AE" w:rsidRDefault="000717F8" w:rsidP="002D457C">
            <w:pPr>
              <w:widowControl/>
              <w:suppressAutoHyphens w:val="0"/>
              <w:overflowPunct/>
              <w:autoSpaceDE/>
              <w:autoSpaceDN/>
              <w:spacing w:line="240" w:lineRule="auto"/>
              <w:jc w:val="center"/>
              <w:textAlignment w:val="auto"/>
              <w:rPr>
                <w:b/>
                <w:bCs/>
                <w:sz w:val="20"/>
              </w:rPr>
            </w:pPr>
            <w:r w:rsidRPr="004D17AE">
              <w:rPr>
                <w:b/>
                <w:bCs/>
                <w:sz w:val="20"/>
              </w:rPr>
              <w:t>Anno 2021</w:t>
            </w:r>
          </w:p>
        </w:tc>
        <w:tc>
          <w:tcPr>
            <w:tcW w:w="1590" w:type="dxa"/>
            <w:tcBorders>
              <w:top w:val="single" w:sz="4" w:space="0" w:color="auto"/>
              <w:left w:val="nil"/>
              <w:bottom w:val="single" w:sz="4" w:space="0" w:color="auto"/>
              <w:right w:val="single" w:sz="4" w:space="0" w:color="auto"/>
            </w:tcBorders>
            <w:shd w:val="clear" w:color="auto" w:fill="D0CECE" w:themeFill="background2" w:themeFillShade="E6"/>
            <w:noWrap/>
            <w:vAlign w:val="bottom"/>
            <w:hideMark/>
          </w:tcPr>
          <w:p w14:paraId="6BC48FE7" w14:textId="77777777" w:rsidR="000717F8" w:rsidRPr="004D17AE" w:rsidRDefault="000717F8" w:rsidP="002D457C">
            <w:pPr>
              <w:widowControl/>
              <w:suppressAutoHyphens w:val="0"/>
              <w:overflowPunct/>
              <w:autoSpaceDE/>
              <w:autoSpaceDN/>
              <w:spacing w:line="240" w:lineRule="auto"/>
              <w:jc w:val="center"/>
              <w:textAlignment w:val="auto"/>
              <w:rPr>
                <w:b/>
                <w:bCs/>
                <w:sz w:val="20"/>
              </w:rPr>
            </w:pPr>
            <w:r w:rsidRPr="004D17AE">
              <w:rPr>
                <w:b/>
                <w:bCs/>
                <w:sz w:val="20"/>
              </w:rPr>
              <w:t>Anno 2020</w:t>
            </w:r>
          </w:p>
        </w:tc>
        <w:tc>
          <w:tcPr>
            <w:tcW w:w="1590" w:type="dxa"/>
            <w:tcBorders>
              <w:top w:val="single" w:sz="4" w:space="0" w:color="auto"/>
              <w:left w:val="nil"/>
              <w:bottom w:val="single" w:sz="4" w:space="0" w:color="auto"/>
              <w:right w:val="single" w:sz="4" w:space="0" w:color="auto"/>
            </w:tcBorders>
            <w:shd w:val="clear" w:color="auto" w:fill="D0CECE" w:themeFill="background2" w:themeFillShade="E6"/>
            <w:noWrap/>
            <w:vAlign w:val="bottom"/>
            <w:hideMark/>
          </w:tcPr>
          <w:p w14:paraId="6ED17ECC" w14:textId="77777777" w:rsidR="000717F8" w:rsidRPr="004D17AE" w:rsidRDefault="000717F8" w:rsidP="002D457C">
            <w:pPr>
              <w:widowControl/>
              <w:suppressAutoHyphens w:val="0"/>
              <w:overflowPunct/>
              <w:autoSpaceDE/>
              <w:autoSpaceDN/>
              <w:spacing w:line="240" w:lineRule="auto"/>
              <w:jc w:val="center"/>
              <w:textAlignment w:val="auto"/>
              <w:rPr>
                <w:b/>
                <w:bCs/>
                <w:sz w:val="20"/>
              </w:rPr>
            </w:pPr>
            <w:r w:rsidRPr="004D17AE">
              <w:rPr>
                <w:b/>
                <w:bCs/>
                <w:sz w:val="20"/>
              </w:rPr>
              <w:t>Variazione</w:t>
            </w:r>
          </w:p>
        </w:tc>
      </w:tr>
      <w:tr w:rsidR="004D17AE" w:rsidRPr="004D17AE" w14:paraId="46836A71" w14:textId="77777777" w:rsidTr="004D17AE">
        <w:trPr>
          <w:trHeight w:val="300"/>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1F688ED4" w14:textId="77777777" w:rsidR="000717F8" w:rsidRPr="004D17AE" w:rsidRDefault="000717F8" w:rsidP="002D457C">
            <w:pPr>
              <w:widowControl/>
              <w:suppressAutoHyphens w:val="0"/>
              <w:overflowPunct/>
              <w:autoSpaceDE/>
              <w:autoSpaceDN/>
              <w:spacing w:line="240" w:lineRule="auto"/>
              <w:jc w:val="left"/>
              <w:textAlignment w:val="auto"/>
              <w:rPr>
                <w:sz w:val="20"/>
              </w:rPr>
            </w:pPr>
            <w:r w:rsidRPr="004D17AE">
              <w:rPr>
                <w:sz w:val="20"/>
              </w:rPr>
              <w:t xml:space="preserve">Salari &amp; Stipendi </w:t>
            </w:r>
          </w:p>
        </w:tc>
        <w:tc>
          <w:tcPr>
            <w:tcW w:w="1590" w:type="dxa"/>
            <w:tcBorders>
              <w:top w:val="nil"/>
              <w:left w:val="nil"/>
              <w:bottom w:val="single" w:sz="4" w:space="0" w:color="auto"/>
              <w:right w:val="single" w:sz="4" w:space="0" w:color="auto"/>
            </w:tcBorders>
            <w:shd w:val="clear" w:color="auto" w:fill="auto"/>
            <w:noWrap/>
            <w:vAlign w:val="bottom"/>
            <w:hideMark/>
          </w:tcPr>
          <w:p w14:paraId="093C2E6A" w14:textId="77777777" w:rsidR="000717F8" w:rsidRPr="004D17AE" w:rsidRDefault="000717F8" w:rsidP="002D457C">
            <w:pPr>
              <w:widowControl/>
              <w:suppressAutoHyphens w:val="0"/>
              <w:overflowPunct/>
              <w:autoSpaceDE/>
              <w:autoSpaceDN/>
              <w:spacing w:line="240" w:lineRule="auto"/>
              <w:jc w:val="right"/>
              <w:textAlignment w:val="auto"/>
              <w:rPr>
                <w:sz w:val="20"/>
              </w:rPr>
            </w:pPr>
            <w:r w:rsidRPr="004D17AE">
              <w:rPr>
                <w:sz w:val="20"/>
              </w:rPr>
              <w:t>4.383.495,00</w:t>
            </w:r>
          </w:p>
        </w:tc>
        <w:tc>
          <w:tcPr>
            <w:tcW w:w="1590" w:type="dxa"/>
            <w:tcBorders>
              <w:top w:val="nil"/>
              <w:left w:val="nil"/>
              <w:bottom w:val="single" w:sz="4" w:space="0" w:color="auto"/>
              <w:right w:val="single" w:sz="4" w:space="0" w:color="auto"/>
            </w:tcBorders>
            <w:shd w:val="clear" w:color="auto" w:fill="auto"/>
            <w:noWrap/>
            <w:vAlign w:val="bottom"/>
            <w:hideMark/>
          </w:tcPr>
          <w:p w14:paraId="64CD525A" w14:textId="77777777" w:rsidR="000717F8" w:rsidRPr="004D17AE" w:rsidRDefault="000717F8" w:rsidP="002D457C">
            <w:pPr>
              <w:widowControl/>
              <w:suppressAutoHyphens w:val="0"/>
              <w:overflowPunct/>
              <w:autoSpaceDE/>
              <w:autoSpaceDN/>
              <w:spacing w:line="240" w:lineRule="auto"/>
              <w:jc w:val="right"/>
              <w:textAlignment w:val="auto"/>
              <w:rPr>
                <w:sz w:val="20"/>
              </w:rPr>
            </w:pPr>
            <w:r w:rsidRPr="004D17AE">
              <w:rPr>
                <w:sz w:val="20"/>
              </w:rPr>
              <w:t>4.531.851,00</w:t>
            </w:r>
          </w:p>
        </w:tc>
        <w:tc>
          <w:tcPr>
            <w:tcW w:w="1590" w:type="dxa"/>
            <w:tcBorders>
              <w:top w:val="nil"/>
              <w:left w:val="nil"/>
              <w:bottom w:val="single" w:sz="4" w:space="0" w:color="auto"/>
              <w:right w:val="single" w:sz="4" w:space="0" w:color="auto"/>
            </w:tcBorders>
            <w:shd w:val="clear" w:color="auto" w:fill="auto"/>
            <w:noWrap/>
            <w:vAlign w:val="center"/>
            <w:hideMark/>
          </w:tcPr>
          <w:p w14:paraId="33DD293A" w14:textId="77777777" w:rsidR="000717F8" w:rsidRPr="004D17AE" w:rsidRDefault="000717F8" w:rsidP="002D457C">
            <w:pPr>
              <w:widowControl/>
              <w:suppressAutoHyphens w:val="0"/>
              <w:overflowPunct/>
              <w:autoSpaceDE/>
              <w:autoSpaceDN/>
              <w:spacing w:line="240" w:lineRule="auto"/>
              <w:jc w:val="right"/>
              <w:textAlignment w:val="auto"/>
              <w:rPr>
                <w:sz w:val="20"/>
              </w:rPr>
            </w:pPr>
            <w:r w:rsidRPr="004D17AE">
              <w:rPr>
                <w:sz w:val="20"/>
              </w:rPr>
              <w:t>-148.356,00</w:t>
            </w:r>
          </w:p>
        </w:tc>
      </w:tr>
      <w:tr w:rsidR="004D17AE" w:rsidRPr="004D17AE" w14:paraId="3F6E978B" w14:textId="77777777" w:rsidTr="004D17AE">
        <w:trPr>
          <w:trHeight w:val="300"/>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3A9738C2" w14:textId="77777777" w:rsidR="000717F8" w:rsidRPr="004D17AE" w:rsidRDefault="000717F8" w:rsidP="002D457C">
            <w:pPr>
              <w:widowControl/>
              <w:suppressAutoHyphens w:val="0"/>
              <w:overflowPunct/>
              <w:autoSpaceDE/>
              <w:autoSpaceDN/>
              <w:spacing w:line="240" w:lineRule="auto"/>
              <w:jc w:val="left"/>
              <w:textAlignment w:val="auto"/>
              <w:rPr>
                <w:sz w:val="20"/>
              </w:rPr>
            </w:pPr>
            <w:r w:rsidRPr="004D17AE">
              <w:rPr>
                <w:sz w:val="20"/>
              </w:rPr>
              <w:t>Oneri Sociali</w:t>
            </w:r>
          </w:p>
        </w:tc>
        <w:tc>
          <w:tcPr>
            <w:tcW w:w="1590" w:type="dxa"/>
            <w:tcBorders>
              <w:top w:val="nil"/>
              <w:left w:val="nil"/>
              <w:bottom w:val="single" w:sz="4" w:space="0" w:color="auto"/>
              <w:right w:val="single" w:sz="4" w:space="0" w:color="auto"/>
            </w:tcBorders>
            <w:shd w:val="clear" w:color="auto" w:fill="auto"/>
            <w:noWrap/>
            <w:vAlign w:val="bottom"/>
            <w:hideMark/>
          </w:tcPr>
          <w:p w14:paraId="56693DCC" w14:textId="77777777" w:rsidR="000717F8" w:rsidRPr="004D17AE" w:rsidRDefault="000717F8" w:rsidP="002D457C">
            <w:pPr>
              <w:widowControl/>
              <w:suppressAutoHyphens w:val="0"/>
              <w:overflowPunct/>
              <w:autoSpaceDE/>
              <w:autoSpaceDN/>
              <w:spacing w:line="240" w:lineRule="auto"/>
              <w:jc w:val="right"/>
              <w:textAlignment w:val="auto"/>
              <w:rPr>
                <w:sz w:val="20"/>
              </w:rPr>
            </w:pPr>
            <w:r w:rsidRPr="004D17AE">
              <w:rPr>
                <w:sz w:val="20"/>
              </w:rPr>
              <w:t>1.769.731,00</w:t>
            </w:r>
          </w:p>
        </w:tc>
        <w:tc>
          <w:tcPr>
            <w:tcW w:w="1590" w:type="dxa"/>
            <w:tcBorders>
              <w:top w:val="nil"/>
              <w:left w:val="nil"/>
              <w:bottom w:val="single" w:sz="4" w:space="0" w:color="auto"/>
              <w:right w:val="single" w:sz="4" w:space="0" w:color="auto"/>
            </w:tcBorders>
            <w:shd w:val="clear" w:color="auto" w:fill="auto"/>
            <w:noWrap/>
            <w:vAlign w:val="bottom"/>
            <w:hideMark/>
          </w:tcPr>
          <w:p w14:paraId="1E74945A" w14:textId="77777777" w:rsidR="000717F8" w:rsidRPr="004D17AE" w:rsidRDefault="000717F8" w:rsidP="002D457C">
            <w:pPr>
              <w:widowControl/>
              <w:suppressAutoHyphens w:val="0"/>
              <w:overflowPunct/>
              <w:autoSpaceDE/>
              <w:autoSpaceDN/>
              <w:spacing w:line="240" w:lineRule="auto"/>
              <w:jc w:val="right"/>
              <w:textAlignment w:val="auto"/>
              <w:rPr>
                <w:sz w:val="20"/>
              </w:rPr>
            </w:pPr>
            <w:r w:rsidRPr="004D17AE">
              <w:rPr>
                <w:sz w:val="20"/>
              </w:rPr>
              <w:t>1.649.430,00</w:t>
            </w:r>
          </w:p>
        </w:tc>
        <w:tc>
          <w:tcPr>
            <w:tcW w:w="1590" w:type="dxa"/>
            <w:tcBorders>
              <w:top w:val="nil"/>
              <w:left w:val="nil"/>
              <w:bottom w:val="single" w:sz="4" w:space="0" w:color="auto"/>
              <w:right w:val="single" w:sz="4" w:space="0" w:color="auto"/>
            </w:tcBorders>
            <w:shd w:val="clear" w:color="auto" w:fill="auto"/>
            <w:noWrap/>
            <w:vAlign w:val="center"/>
            <w:hideMark/>
          </w:tcPr>
          <w:p w14:paraId="796C00FB" w14:textId="77777777" w:rsidR="000717F8" w:rsidRPr="004D17AE" w:rsidRDefault="000717F8" w:rsidP="002D457C">
            <w:pPr>
              <w:jc w:val="right"/>
              <w:rPr>
                <w:sz w:val="20"/>
              </w:rPr>
            </w:pPr>
            <w:r w:rsidRPr="004D17AE">
              <w:rPr>
                <w:sz w:val="20"/>
              </w:rPr>
              <w:t>120.301,00</w:t>
            </w:r>
          </w:p>
        </w:tc>
      </w:tr>
      <w:tr w:rsidR="004D17AE" w:rsidRPr="004D17AE" w14:paraId="661AD252" w14:textId="77777777" w:rsidTr="004D17AE">
        <w:trPr>
          <w:trHeight w:val="300"/>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10B87ACD" w14:textId="77777777" w:rsidR="000717F8" w:rsidRPr="004D17AE" w:rsidRDefault="000717F8" w:rsidP="002D457C">
            <w:pPr>
              <w:widowControl/>
              <w:suppressAutoHyphens w:val="0"/>
              <w:overflowPunct/>
              <w:autoSpaceDE/>
              <w:autoSpaceDN/>
              <w:spacing w:line="240" w:lineRule="auto"/>
              <w:jc w:val="left"/>
              <w:textAlignment w:val="auto"/>
              <w:rPr>
                <w:sz w:val="20"/>
              </w:rPr>
            </w:pPr>
            <w:r w:rsidRPr="004D17AE">
              <w:rPr>
                <w:sz w:val="20"/>
              </w:rPr>
              <w:t>Trattamento di Fine Rapporto</w:t>
            </w:r>
          </w:p>
        </w:tc>
        <w:tc>
          <w:tcPr>
            <w:tcW w:w="1590" w:type="dxa"/>
            <w:tcBorders>
              <w:top w:val="nil"/>
              <w:left w:val="nil"/>
              <w:bottom w:val="single" w:sz="4" w:space="0" w:color="auto"/>
              <w:right w:val="single" w:sz="4" w:space="0" w:color="auto"/>
            </w:tcBorders>
            <w:shd w:val="clear" w:color="auto" w:fill="auto"/>
            <w:noWrap/>
            <w:vAlign w:val="bottom"/>
            <w:hideMark/>
          </w:tcPr>
          <w:p w14:paraId="104BD302" w14:textId="77777777" w:rsidR="000717F8" w:rsidRPr="004D17AE" w:rsidRDefault="000717F8" w:rsidP="002D457C">
            <w:pPr>
              <w:widowControl/>
              <w:suppressAutoHyphens w:val="0"/>
              <w:overflowPunct/>
              <w:autoSpaceDE/>
              <w:autoSpaceDN/>
              <w:spacing w:line="240" w:lineRule="auto"/>
              <w:jc w:val="right"/>
              <w:textAlignment w:val="auto"/>
              <w:rPr>
                <w:sz w:val="20"/>
              </w:rPr>
            </w:pPr>
            <w:r w:rsidRPr="004D17AE">
              <w:rPr>
                <w:sz w:val="20"/>
              </w:rPr>
              <w:t>278.224,00</w:t>
            </w:r>
          </w:p>
        </w:tc>
        <w:tc>
          <w:tcPr>
            <w:tcW w:w="1590" w:type="dxa"/>
            <w:tcBorders>
              <w:top w:val="nil"/>
              <w:left w:val="nil"/>
              <w:bottom w:val="single" w:sz="4" w:space="0" w:color="auto"/>
              <w:right w:val="single" w:sz="4" w:space="0" w:color="auto"/>
            </w:tcBorders>
            <w:shd w:val="clear" w:color="auto" w:fill="auto"/>
            <w:noWrap/>
            <w:vAlign w:val="bottom"/>
            <w:hideMark/>
          </w:tcPr>
          <w:p w14:paraId="47EAA09C" w14:textId="77777777" w:rsidR="000717F8" w:rsidRPr="004D17AE" w:rsidRDefault="000717F8" w:rsidP="002D457C">
            <w:pPr>
              <w:widowControl/>
              <w:suppressAutoHyphens w:val="0"/>
              <w:overflowPunct/>
              <w:autoSpaceDE/>
              <w:autoSpaceDN/>
              <w:spacing w:line="240" w:lineRule="auto"/>
              <w:jc w:val="right"/>
              <w:textAlignment w:val="auto"/>
              <w:rPr>
                <w:sz w:val="20"/>
              </w:rPr>
            </w:pPr>
            <w:r w:rsidRPr="004D17AE">
              <w:rPr>
                <w:sz w:val="20"/>
              </w:rPr>
              <w:t>297.430,00</w:t>
            </w:r>
          </w:p>
        </w:tc>
        <w:tc>
          <w:tcPr>
            <w:tcW w:w="1590" w:type="dxa"/>
            <w:tcBorders>
              <w:top w:val="nil"/>
              <w:left w:val="nil"/>
              <w:bottom w:val="single" w:sz="4" w:space="0" w:color="auto"/>
              <w:right w:val="single" w:sz="4" w:space="0" w:color="auto"/>
            </w:tcBorders>
            <w:shd w:val="clear" w:color="auto" w:fill="auto"/>
            <w:noWrap/>
            <w:vAlign w:val="center"/>
            <w:hideMark/>
          </w:tcPr>
          <w:p w14:paraId="0F2052F2" w14:textId="77777777" w:rsidR="000717F8" w:rsidRPr="004D17AE" w:rsidRDefault="000717F8" w:rsidP="002D457C">
            <w:pPr>
              <w:jc w:val="right"/>
              <w:rPr>
                <w:sz w:val="20"/>
              </w:rPr>
            </w:pPr>
            <w:r w:rsidRPr="004D17AE">
              <w:rPr>
                <w:sz w:val="20"/>
              </w:rPr>
              <w:t>-19.206,00</w:t>
            </w:r>
          </w:p>
        </w:tc>
      </w:tr>
      <w:tr w:rsidR="004D17AE" w:rsidRPr="004D17AE" w14:paraId="4A657F70" w14:textId="77777777" w:rsidTr="004D17AE">
        <w:trPr>
          <w:trHeight w:val="300"/>
        </w:trPr>
        <w:tc>
          <w:tcPr>
            <w:tcW w:w="2634" w:type="dxa"/>
            <w:tcBorders>
              <w:top w:val="nil"/>
              <w:left w:val="single" w:sz="4" w:space="0" w:color="auto"/>
              <w:bottom w:val="single" w:sz="4" w:space="0" w:color="auto"/>
              <w:right w:val="single" w:sz="4" w:space="0" w:color="auto"/>
            </w:tcBorders>
            <w:shd w:val="clear" w:color="auto" w:fill="auto"/>
            <w:noWrap/>
            <w:vAlign w:val="bottom"/>
          </w:tcPr>
          <w:p w14:paraId="2E038DC6" w14:textId="77777777" w:rsidR="000717F8" w:rsidRPr="004D17AE" w:rsidRDefault="000717F8" w:rsidP="002D457C">
            <w:pPr>
              <w:widowControl/>
              <w:suppressAutoHyphens w:val="0"/>
              <w:overflowPunct/>
              <w:autoSpaceDE/>
              <w:autoSpaceDN/>
              <w:spacing w:line="240" w:lineRule="auto"/>
              <w:jc w:val="left"/>
              <w:textAlignment w:val="auto"/>
              <w:rPr>
                <w:bCs/>
                <w:sz w:val="20"/>
              </w:rPr>
            </w:pPr>
            <w:r w:rsidRPr="004D17AE">
              <w:rPr>
                <w:bCs/>
                <w:sz w:val="20"/>
              </w:rPr>
              <w:t>Altri Costi</w:t>
            </w:r>
          </w:p>
        </w:tc>
        <w:tc>
          <w:tcPr>
            <w:tcW w:w="1590" w:type="dxa"/>
            <w:tcBorders>
              <w:top w:val="nil"/>
              <w:left w:val="nil"/>
              <w:bottom w:val="single" w:sz="4" w:space="0" w:color="auto"/>
              <w:right w:val="single" w:sz="4" w:space="0" w:color="auto"/>
            </w:tcBorders>
            <w:shd w:val="clear" w:color="auto" w:fill="auto"/>
            <w:noWrap/>
            <w:vAlign w:val="bottom"/>
          </w:tcPr>
          <w:p w14:paraId="5962B3AE" w14:textId="77777777" w:rsidR="000717F8" w:rsidRPr="004D17AE" w:rsidRDefault="000717F8" w:rsidP="002D457C">
            <w:pPr>
              <w:widowControl/>
              <w:suppressAutoHyphens w:val="0"/>
              <w:overflowPunct/>
              <w:autoSpaceDE/>
              <w:autoSpaceDN/>
              <w:spacing w:line="240" w:lineRule="auto"/>
              <w:jc w:val="right"/>
              <w:textAlignment w:val="auto"/>
              <w:rPr>
                <w:bCs/>
                <w:sz w:val="20"/>
              </w:rPr>
            </w:pPr>
            <w:r w:rsidRPr="004D17AE">
              <w:rPr>
                <w:bCs/>
                <w:sz w:val="20"/>
              </w:rPr>
              <w:t>94.342,00</w:t>
            </w:r>
          </w:p>
        </w:tc>
        <w:tc>
          <w:tcPr>
            <w:tcW w:w="1590" w:type="dxa"/>
            <w:tcBorders>
              <w:top w:val="nil"/>
              <w:left w:val="nil"/>
              <w:bottom w:val="single" w:sz="4" w:space="0" w:color="auto"/>
              <w:right w:val="single" w:sz="4" w:space="0" w:color="auto"/>
            </w:tcBorders>
            <w:shd w:val="clear" w:color="auto" w:fill="auto"/>
            <w:noWrap/>
            <w:vAlign w:val="bottom"/>
          </w:tcPr>
          <w:p w14:paraId="3A93F061" w14:textId="77777777" w:rsidR="000717F8" w:rsidRPr="004D17AE" w:rsidRDefault="000717F8" w:rsidP="002D457C">
            <w:pPr>
              <w:widowControl/>
              <w:suppressAutoHyphens w:val="0"/>
              <w:overflowPunct/>
              <w:autoSpaceDE/>
              <w:autoSpaceDN/>
              <w:spacing w:line="240" w:lineRule="auto"/>
              <w:jc w:val="right"/>
              <w:textAlignment w:val="auto"/>
              <w:rPr>
                <w:bCs/>
                <w:sz w:val="20"/>
              </w:rPr>
            </w:pPr>
            <w:r w:rsidRPr="004D17AE">
              <w:rPr>
                <w:bCs/>
                <w:sz w:val="20"/>
              </w:rPr>
              <w:t>63.649,00</w:t>
            </w:r>
          </w:p>
        </w:tc>
        <w:tc>
          <w:tcPr>
            <w:tcW w:w="1590" w:type="dxa"/>
            <w:tcBorders>
              <w:top w:val="nil"/>
              <w:left w:val="nil"/>
              <w:bottom w:val="single" w:sz="4" w:space="0" w:color="auto"/>
              <w:right w:val="single" w:sz="4" w:space="0" w:color="auto"/>
            </w:tcBorders>
            <w:shd w:val="clear" w:color="auto" w:fill="auto"/>
            <w:noWrap/>
            <w:vAlign w:val="center"/>
          </w:tcPr>
          <w:p w14:paraId="58798EBB" w14:textId="77777777" w:rsidR="000717F8" w:rsidRPr="004D17AE" w:rsidRDefault="000717F8" w:rsidP="002D457C">
            <w:pPr>
              <w:jc w:val="right"/>
              <w:rPr>
                <w:sz w:val="20"/>
              </w:rPr>
            </w:pPr>
            <w:r w:rsidRPr="004D17AE">
              <w:rPr>
                <w:sz w:val="20"/>
              </w:rPr>
              <w:t>30.693,00</w:t>
            </w:r>
          </w:p>
        </w:tc>
      </w:tr>
      <w:tr w:rsidR="004D17AE" w:rsidRPr="004D17AE" w14:paraId="0DE5FC1D" w14:textId="77777777" w:rsidTr="004D17AE">
        <w:trPr>
          <w:trHeight w:val="300"/>
        </w:trPr>
        <w:tc>
          <w:tcPr>
            <w:tcW w:w="2634" w:type="dxa"/>
            <w:tcBorders>
              <w:top w:val="nil"/>
              <w:left w:val="single" w:sz="4" w:space="0" w:color="auto"/>
              <w:bottom w:val="single" w:sz="4" w:space="0" w:color="auto"/>
              <w:right w:val="single" w:sz="4" w:space="0" w:color="auto"/>
            </w:tcBorders>
            <w:shd w:val="clear" w:color="auto" w:fill="auto"/>
            <w:noWrap/>
            <w:vAlign w:val="bottom"/>
            <w:hideMark/>
          </w:tcPr>
          <w:p w14:paraId="32D6CDEB" w14:textId="77777777" w:rsidR="000717F8" w:rsidRPr="004D17AE" w:rsidRDefault="000717F8" w:rsidP="002D457C">
            <w:pPr>
              <w:widowControl/>
              <w:suppressAutoHyphens w:val="0"/>
              <w:overflowPunct/>
              <w:autoSpaceDE/>
              <w:autoSpaceDN/>
              <w:spacing w:line="240" w:lineRule="auto"/>
              <w:jc w:val="left"/>
              <w:textAlignment w:val="auto"/>
              <w:rPr>
                <w:b/>
                <w:bCs/>
                <w:sz w:val="20"/>
              </w:rPr>
            </w:pPr>
            <w:r w:rsidRPr="004D17AE">
              <w:rPr>
                <w:b/>
                <w:bCs/>
                <w:sz w:val="20"/>
              </w:rPr>
              <w:t>TOTALE</w:t>
            </w:r>
          </w:p>
        </w:tc>
        <w:tc>
          <w:tcPr>
            <w:tcW w:w="1590" w:type="dxa"/>
            <w:tcBorders>
              <w:top w:val="nil"/>
              <w:left w:val="nil"/>
              <w:bottom w:val="single" w:sz="4" w:space="0" w:color="auto"/>
              <w:right w:val="single" w:sz="4" w:space="0" w:color="auto"/>
            </w:tcBorders>
            <w:shd w:val="clear" w:color="auto" w:fill="auto"/>
            <w:noWrap/>
            <w:vAlign w:val="center"/>
            <w:hideMark/>
          </w:tcPr>
          <w:p w14:paraId="75A68F3A" w14:textId="77777777" w:rsidR="000717F8" w:rsidRPr="004D17AE" w:rsidRDefault="000717F8" w:rsidP="002D457C">
            <w:pPr>
              <w:jc w:val="right"/>
              <w:rPr>
                <w:b/>
                <w:bCs/>
                <w:sz w:val="20"/>
              </w:rPr>
            </w:pPr>
            <w:r w:rsidRPr="004D17AE">
              <w:rPr>
                <w:b/>
                <w:bCs/>
                <w:sz w:val="20"/>
              </w:rPr>
              <w:t>6.522.792,00</w:t>
            </w:r>
          </w:p>
        </w:tc>
        <w:tc>
          <w:tcPr>
            <w:tcW w:w="1590" w:type="dxa"/>
            <w:tcBorders>
              <w:top w:val="nil"/>
              <w:left w:val="nil"/>
              <w:bottom w:val="single" w:sz="4" w:space="0" w:color="auto"/>
              <w:right w:val="single" w:sz="4" w:space="0" w:color="auto"/>
            </w:tcBorders>
            <w:shd w:val="clear" w:color="auto" w:fill="auto"/>
            <w:noWrap/>
            <w:vAlign w:val="center"/>
            <w:hideMark/>
          </w:tcPr>
          <w:p w14:paraId="11D1A2A1" w14:textId="77777777" w:rsidR="000717F8" w:rsidRPr="004D17AE" w:rsidRDefault="000717F8" w:rsidP="002D457C">
            <w:pPr>
              <w:jc w:val="right"/>
              <w:rPr>
                <w:b/>
                <w:bCs/>
                <w:sz w:val="20"/>
              </w:rPr>
            </w:pPr>
            <w:r w:rsidRPr="004D17AE">
              <w:rPr>
                <w:b/>
                <w:bCs/>
                <w:sz w:val="20"/>
              </w:rPr>
              <w:t>6.542.360,00</w:t>
            </w:r>
          </w:p>
        </w:tc>
        <w:tc>
          <w:tcPr>
            <w:tcW w:w="1590" w:type="dxa"/>
            <w:tcBorders>
              <w:top w:val="nil"/>
              <w:left w:val="nil"/>
              <w:bottom w:val="single" w:sz="4" w:space="0" w:color="auto"/>
              <w:right w:val="single" w:sz="4" w:space="0" w:color="auto"/>
            </w:tcBorders>
            <w:shd w:val="clear" w:color="auto" w:fill="auto"/>
            <w:noWrap/>
            <w:vAlign w:val="center"/>
            <w:hideMark/>
          </w:tcPr>
          <w:p w14:paraId="3258A606" w14:textId="77777777" w:rsidR="000717F8" w:rsidRPr="004D17AE" w:rsidRDefault="000717F8" w:rsidP="002D457C">
            <w:pPr>
              <w:jc w:val="right"/>
              <w:rPr>
                <w:b/>
                <w:bCs/>
                <w:sz w:val="20"/>
              </w:rPr>
            </w:pPr>
            <w:r w:rsidRPr="004D17AE">
              <w:rPr>
                <w:b/>
                <w:bCs/>
                <w:sz w:val="20"/>
              </w:rPr>
              <w:t>-16.568,00</w:t>
            </w:r>
          </w:p>
        </w:tc>
      </w:tr>
    </w:tbl>
    <w:p w14:paraId="4B05A666" w14:textId="77777777" w:rsidR="000717F8" w:rsidRPr="00162E69" w:rsidRDefault="000717F8" w:rsidP="000717F8">
      <w:pPr>
        <w:spacing w:line="240" w:lineRule="auto"/>
        <w:rPr>
          <w:szCs w:val="24"/>
        </w:rPr>
      </w:pPr>
    </w:p>
    <w:p w14:paraId="32CD63EF" w14:textId="77777777" w:rsidR="000717F8" w:rsidRPr="00162E69" w:rsidRDefault="000717F8" w:rsidP="000717F8">
      <w:pPr>
        <w:spacing w:line="240" w:lineRule="auto"/>
        <w:rPr>
          <w:szCs w:val="24"/>
        </w:rPr>
      </w:pPr>
      <w:r w:rsidRPr="00162E69">
        <w:rPr>
          <w:szCs w:val="24"/>
        </w:rPr>
        <w:t>Gli altri costi per il personale sono i costi legati alle Polizze Rimborsi Spese Mediche e costi per vertenze.</w:t>
      </w:r>
    </w:p>
    <w:p w14:paraId="0C7F893D" w14:textId="77777777" w:rsidR="000717F8" w:rsidRPr="00162E69" w:rsidRDefault="000717F8" w:rsidP="000717F8">
      <w:pPr>
        <w:rPr>
          <w:b/>
          <w:szCs w:val="24"/>
        </w:rPr>
      </w:pPr>
      <w:r w:rsidRPr="00162E69">
        <w:rPr>
          <w:b/>
          <w:szCs w:val="24"/>
        </w:rPr>
        <w:t xml:space="preserve">Organico </w:t>
      </w:r>
    </w:p>
    <w:p w14:paraId="13C0B298" w14:textId="77777777" w:rsidR="000717F8" w:rsidRDefault="000717F8" w:rsidP="004D17AE">
      <w:pPr>
        <w:spacing w:after="240"/>
        <w:rPr>
          <w:szCs w:val="24"/>
        </w:rPr>
      </w:pPr>
      <w:r w:rsidRPr="00162E69">
        <w:rPr>
          <w:szCs w:val="24"/>
        </w:rPr>
        <w:t xml:space="preserve">Nell’esercizio 2021, la Società l’organico risulta essere il seguente: </w:t>
      </w:r>
    </w:p>
    <w:tbl>
      <w:tblPr>
        <w:tblW w:w="7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1843"/>
        <w:gridCol w:w="1588"/>
      </w:tblGrid>
      <w:tr w:rsidR="00162E69" w:rsidRPr="004D17AE" w14:paraId="039043E4" w14:textId="77777777" w:rsidTr="004D17AE">
        <w:trPr>
          <w:trHeight w:val="491"/>
        </w:trPr>
        <w:tc>
          <w:tcPr>
            <w:tcW w:w="4077"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629024FE" w14:textId="77777777" w:rsidR="000717F8" w:rsidRPr="004D17AE" w:rsidRDefault="000717F8" w:rsidP="004D17AE">
            <w:pPr>
              <w:spacing w:line="276" w:lineRule="auto"/>
              <w:jc w:val="left"/>
              <w:rPr>
                <w:b/>
                <w:sz w:val="20"/>
                <w:lang w:eastAsia="en-US"/>
              </w:rPr>
            </w:pPr>
            <w:r w:rsidRPr="004D17AE">
              <w:rPr>
                <w:b/>
                <w:sz w:val="20"/>
              </w:rPr>
              <w:t>CATEGORIE</w:t>
            </w:r>
          </w:p>
        </w:tc>
        <w:tc>
          <w:tcPr>
            <w:tcW w:w="1843"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4EE811D1" w14:textId="77777777" w:rsidR="000717F8" w:rsidRPr="004D17AE" w:rsidRDefault="000717F8" w:rsidP="002D457C">
            <w:pPr>
              <w:spacing w:line="276" w:lineRule="auto"/>
              <w:jc w:val="center"/>
              <w:rPr>
                <w:b/>
                <w:sz w:val="20"/>
                <w:lang w:eastAsia="en-US"/>
              </w:rPr>
            </w:pPr>
            <w:r w:rsidRPr="004D17AE">
              <w:rPr>
                <w:b/>
                <w:sz w:val="20"/>
              </w:rPr>
              <w:t>al 31/12/2021</w:t>
            </w:r>
          </w:p>
        </w:tc>
        <w:tc>
          <w:tcPr>
            <w:tcW w:w="158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hideMark/>
          </w:tcPr>
          <w:p w14:paraId="38006E32" w14:textId="77777777" w:rsidR="000717F8" w:rsidRPr="004D17AE" w:rsidRDefault="000717F8" w:rsidP="002D457C">
            <w:pPr>
              <w:spacing w:line="276" w:lineRule="auto"/>
              <w:jc w:val="center"/>
              <w:rPr>
                <w:b/>
                <w:sz w:val="20"/>
                <w:lang w:eastAsia="en-US"/>
              </w:rPr>
            </w:pPr>
            <w:r w:rsidRPr="004D17AE">
              <w:rPr>
                <w:b/>
                <w:sz w:val="20"/>
              </w:rPr>
              <w:t>al 31/12/2020</w:t>
            </w:r>
          </w:p>
        </w:tc>
      </w:tr>
      <w:tr w:rsidR="00162E69" w:rsidRPr="004D17AE" w14:paraId="682DBE99" w14:textId="77777777" w:rsidTr="004D17AE">
        <w:trPr>
          <w:trHeight w:val="1119"/>
        </w:trPr>
        <w:tc>
          <w:tcPr>
            <w:tcW w:w="4077" w:type="dxa"/>
            <w:tcBorders>
              <w:top w:val="single" w:sz="4" w:space="0" w:color="auto"/>
              <w:left w:val="single" w:sz="4" w:space="0" w:color="auto"/>
              <w:bottom w:val="single" w:sz="4" w:space="0" w:color="auto"/>
              <w:right w:val="single" w:sz="4" w:space="0" w:color="auto"/>
            </w:tcBorders>
            <w:vAlign w:val="center"/>
            <w:hideMark/>
          </w:tcPr>
          <w:p w14:paraId="50893F7E" w14:textId="77777777" w:rsidR="000717F8" w:rsidRPr="004D17AE" w:rsidRDefault="000717F8" w:rsidP="002D457C">
            <w:pPr>
              <w:spacing w:line="240" w:lineRule="auto"/>
              <w:rPr>
                <w:b/>
                <w:sz w:val="20"/>
              </w:rPr>
            </w:pPr>
            <w:r w:rsidRPr="004D17AE">
              <w:rPr>
                <w:b/>
                <w:sz w:val="20"/>
              </w:rPr>
              <w:lastRenderedPageBreak/>
              <w:t>Dirigenti</w:t>
            </w:r>
          </w:p>
          <w:p w14:paraId="3C55B16C" w14:textId="77777777" w:rsidR="000717F8" w:rsidRPr="004D17AE" w:rsidRDefault="000717F8" w:rsidP="002D457C">
            <w:pPr>
              <w:spacing w:line="240" w:lineRule="auto"/>
              <w:rPr>
                <w:b/>
                <w:sz w:val="20"/>
              </w:rPr>
            </w:pPr>
            <w:r w:rsidRPr="004D17AE">
              <w:rPr>
                <w:b/>
                <w:sz w:val="20"/>
              </w:rPr>
              <w:t>Quadri</w:t>
            </w:r>
          </w:p>
          <w:p w14:paraId="3E843E3F" w14:textId="77777777" w:rsidR="000717F8" w:rsidRPr="004D17AE" w:rsidRDefault="000717F8" w:rsidP="002D457C">
            <w:pPr>
              <w:spacing w:line="240" w:lineRule="auto"/>
              <w:rPr>
                <w:b/>
                <w:sz w:val="20"/>
              </w:rPr>
            </w:pPr>
            <w:r w:rsidRPr="004D17AE">
              <w:rPr>
                <w:b/>
                <w:sz w:val="20"/>
              </w:rPr>
              <w:t>Impiegati</w:t>
            </w:r>
          </w:p>
          <w:p w14:paraId="7254D1B2" w14:textId="77777777" w:rsidR="000717F8" w:rsidRPr="004D17AE" w:rsidRDefault="000717F8" w:rsidP="002D457C">
            <w:pPr>
              <w:spacing w:line="240" w:lineRule="auto"/>
              <w:rPr>
                <w:b/>
                <w:sz w:val="20"/>
                <w:lang w:eastAsia="en-US"/>
              </w:rPr>
            </w:pPr>
            <w:r w:rsidRPr="004D17AE">
              <w:rPr>
                <w:b/>
                <w:sz w:val="20"/>
              </w:rPr>
              <w:t>Operai</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AFD9F90" w14:textId="77777777" w:rsidR="000717F8" w:rsidRPr="004D17AE" w:rsidRDefault="000717F8" w:rsidP="002D457C">
            <w:pPr>
              <w:spacing w:line="240" w:lineRule="auto"/>
              <w:jc w:val="center"/>
              <w:rPr>
                <w:b/>
                <w:sz w:val="20"/>
              </w:rPr>
            </w:pPr>
            <w:r w:rsidRPr="004D17AE">
              <w:rPr>
                <w:b/>
                <w:sz w:val="20"/>
              </w:rPr>
              <w:t>2</w:t>
            </w:r>
          </w:p>
          <w:p w14:paraId="2EDF2191" w14:textId="77777777" w:rsidR="000717F8" w:rsidRPr="004D17AE" w:rsidRDefault="000717F8" w:rsidP="002D457C">
            <w:pPr>
              <w:spacing w:line="240" w:lineRule="auto"/>
              <w:jc w:val="center"/>
              <w:rPr>
                <w:b/>
                <w:sz w:val="20"/>
              </w:rPr>
            </w:pPr>
            <w:r w:rsidRPr="004D17AE">
              <w:rPr>
                <w:b/>
                <w:sz w:val="20"/>
              </w:rPr>
              <w:t>5</w:t>
            </w:r>
          </w:p>
          <w:p w14:paraId="411791BD" w14:textId="77777777" w:rsidR="000717F8" w:rsidRPr="004D17AE" w:rsidRDefault="000717F8" w:rsidP="002D457C">
            <w:pPr>
              <w:spacing w:line="240" w:lineRule="auto"/>
              <w:jc w:val="center"/>
              <w:rPr>
                <w:b/>
                <w:sz w:val="20"/>
              </w:rPr>
            </w:pPr>
            <w:r w:rsidRPr="004D17AE">
              <w:rPr>
                <w:b/>
                <w:sz w:val="20"/>
              </w:rPr>
              <w:t>30</w:t>
            </w:r>
          </w:p>
          <w:p w14:paraId="403EE63D" w14:textId="77777777" w:rsidR="000717F8" w:rsidRPr="004D17AE" w:rsidRDefault="000717F8" w:rsidP="002D457C">
            <w:pPr>
              <w:spacing w:line="240" w:lineRule="auto"/>
              <w:jc w:val="center"/>
              <w:rPr>
                <w:b/>
                <w:sz w:val="20"/>
                <w:lang w:eastAsia="en-US"/>
              </w:rPr>
            </w:pPr>
            <w:r w:rsidRPr="004D17AE">
              <w:rPr>
                <w:b/>
                <w:sz w:val="20"/>
                <w:lang w:eastAsia="en-US"/>
              </w:rPr>
              <w:t>71</w:t>
            </w:r>
          </w:p>
        </w:tc>
        <w:tc>
          <w:tcPr>
            <w:tcW w:w="1588" w:type="dxa"/>
            <w:tcBorders>
              <w:top w:val="single" w:sz="4" w:space="0" w:color="auto"/>
              <w:left w:val="single" w:sz="4" w:space="0" w:color="auto"/>
              <w:bottom w:val="single" w:sz="4" w:space="0" w:color="auto"/>
              <w:right w:val="single" w:sz="4" w:space="0" w:color="auto"/>
            </w:tcBorders>
            <w:vAlign w:val="center"/>
            <w:hideMark/>
          </w:tcPr>
          <w:p w14:paraId="48137F30" w14:textId="77777777" w:rsidR="000717F8" w:rsidRPr="004D17AE" w:rsidRDefault="000717F8" w:rsidP="002D457C">
            <w:pPr>
              <w:spacing w:line="240" w:lineRule="auto"/>
              <w:jc w:val="center"/>
              <w:rPr>
                <w:b/>
                <w:sz w:val="20"/>
              </w:rPr>
            </w:pPr>
            <w:r w:rsidRPr="004D17AE">
              <w:rPr>
                <w:b/>
                <w:sz w:val="20"/>
              </w:rPr>
              <w:t>2</w:t>
            </w:r>
          </w:p>
          <w:p w14:paraId="2F0323CA" w14:textId="77777777" w:rsidR="000717F8" w:rsidRPr="004D17AE" w:rsidRDefault="000717F8" w:rsidP="002D457C">
            <w:pPr>
              <w:spacing w:line="240" w:lineRule="auto"/>
              <w:jc w:val="center"/>
              <w:rPr>
                <w:b/>
                <w:sz w:val="20"/>
              </w:rPr>
            </w:pPr>
            <w:r w:rsidRPr="004D17AE">
              <w:rPr>
                <w:b/>
                <w:sz w:val="20"/>
              </w:rPr>
              <w:t>5</w:t>
            </w:r>
          </w:p>
          <w:p w14:paraId="2680BD93" w14:textId="77777777" w:rsidR="000717F8" w:rsidRPr="004D17AE" w:rsidRDefault="000717F8" w:rsidP="002D457C">
            <w:pPr>
              <w:spacing w:line="240" w:lineRule="auto"/>
              <w:jc w:val="center"/>
              <w:rPr>
                <w:b/>
                <w:sz w:val="20"/>
              </w:rPr>
            </w:pPr>
            <w:r w:rsidRPr="004D17AE">
              <w:rPr>
                <w:b/>
                <w:sz w:val="20"/>
              </w:rPr>
              <w:t>31</w:t>
            </w:r>
          </w:p>
          <w:p w14:paraId="33F564EE" w14:textId="77777777" w:rsidR="000717F8" w:rsidRPr="004D17AE" w:rsidRDefault="000717F8" w:rsidP="002D457C">
            <w:pPr>
              <w:spacing w:line="240" w:lineRule="auto"/>
              <w:jc w:val="center"/>
              <w:rPr>
                <w:b/>
                <w:sz w:val="20"/>
                <w:lang w:eastAsia="en-US"/>
              </w:rPr>
            </w:pPr>
            <w:r w:rsidRPr="004D17AE">
              <w:rPr>
                <w:b/>
                <w:sz w:val="20"/>
                <w:lang w:eastAsia="en-US"/>
              </w:rPr>
              <w:t>74</w:t>
            </w:r>
          </w:p>
        </w:tc>
      </w:tr>
      <w:tr w:rsidR="00162E69" w:rsidRPr="004D17AE" w14:paraId="266850FF" w14:textId="77777777" w:rsidTr="004D17AE">
        <w:trPr>
          <w:trHeight w:val="465"/>
        </w:trPr>
        <w:tc>
          <w:tcPr>
            <w:tcW w:w="4077" w:type="dxa"/>
            <w:tcBorders>
              <w:top w:val="single" w:sz="4" w:space="0" w:color="auto"/>
              <w:left w:val="single" w:sz="4" w:space="0" w:color="auto"/>
              <w:bottom w:val="single" w:sz="4" w:space="0" w:color="auto"/>
              <w:right w:val="single" w:sz="4" w:space="0" w:color="auto"/>
            </w:tcBorders>
            <w:vAlign w:val="center"/>
            <w:hideMark/>
          </w:tcPr>
          <w:p w14:paraId="3DF5E001" w14:textId="77777777" w:rsidR="000717F8" w:rsidRPr="004D17AE" w:rsidRDefault="000717F8" w:rsidP="004D17AE">
            <w:pPr>
              <w:spacing w:line="276" w:lineRule="auto"/>
              <w:jc w:val="left"/>
              <w:rPr>
                <w:b/>
                <w:sz w:val="20"/>
                <w:lang w:eastAsia="en-US"/>
              </w:rPr>
            </w:pPr>
            <w:r w:rsidRPr="004D17AE">
              <w:rPr>
                <w:b/>
                <w:sz w:val="20"/>
              </w:rPr>
              <w:t>Totale</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C9F59D6" w14:textId="77777777" w:rsidR="000717F8" w:rsidRPr="004D17AE" w:rsidRDefault="000717F8" w:rsidP="002D457C">
            <w:pPr>
              <w:spacing w:line="276" w:lineRule="auto"/>
              <w:jc w:val="center"/>
              <w:rPr>
                <w:b/>
                <w:sz w:val="20"/>
                <w:lang w:eastAsia="en-US"/>
              </w:rPr>
            </w:pPr>
            <w:r w:rsidRPr="004D17AE">
              <w:rPr>
                <w:b/>
                <w:sz w:val="20"/>
              </w:rPr>
              <w:t>108</w:t>
            </w:r>
          </w:p>
        </w:tc>
        <w:tc>
          <w:tcPr>
            <w:tcW w:w="1588" w:type="dxa"/>
            <w:tcBorders>
              <w:top w:val="single" w:sz="4" w:space="0" w:color="auto"/>
              <w:left w:val="single" w:sz="4" w:space="0" w:color="auto"/>
              <w:bottom w:val="single" w:sz="4" w:space="0" w:color="auto"/>
              <w:right w:val="single" w:sz="4" w:space="0" w:color="auto"/>
            </w:tcBorders>
            <w:vAlign w:val="center"/>
            <w:hideMark/>
          </w:tcPr>
          <w:p w14:paraId="2846278F" w14:textId="77777777" w:rsidR="000717F8" w:rsidRPr="004D17AE" w:rsidRDefault="000717F8" w:rsidP="002D457C">
            <w:pPr>
              <w:spacing w:line="276" w:lineRule="auto"/>
              <w:jc w:val="center"/>
              <w:rPr>
                <w:b/>
                <w:sz w:val="20"/>
                <w:lang w:eastAsia="en-US"/>
              </w:rPr>
            </w:pPr>
            <w:r w:rsidRPr="004D17AE">
              <w:rPr>
                <w:b/>
                <w:sz w:val="20"/>
              </w:rPr>
              <w:t>112</w:t>
            </w:r>
          </w:p>
        </w:tc>
      </w:tr>
      <w:tr w:rsidR="004D17AE" w:rsidRPr="004D17AE" w14:paraId="5304897F" w14:textId="77777777" w:rsidTr="004D17AE">
        <w:trPr>
          <w:trHeight w:val="1350"/>
        </w:trPr>
        <w:tc>
          <w:tcPr>
            <w:tcW w:w="4077" w:type="dxa"/>
            <w:tcBorders>
              <w:top w:val="single" w:sz="4" w:space="0" w:color="auto"/>
              <w:left w:val="single" w:sz="4" w:space="0" w:color="auto"/>
              <w:bottom w:val="single" w:sz="4" w:space="0" w:color="auto"/>
              <w:right w:val="single" w:sz="4" w:space="0" w:color="auto"/>
            </w:tcBorders>
            <w:vAlign w:val="center"/>
          </w:tcPr>
          <w:p w14:paraId="0AF81B62" w14:textId="77777777" w:rsidR="000717F8" w:rsidRPr="004D17AE" w:rsidRDefault="000717F8" w:rsidP="004D17AE">
            <w:pPr>
              <w:spacing w:line="240" w:lineRule="auto"/>
              <w:rPr>
                <w:b/>
                <w:sz w:val="20"/>
              </w:rPr>
            </w:pPr>
            <w:r w:rsidRPr="004D17AE">
              <w:rPr>
                <w:b/>
                <w:sz w:val="20"/>
              </w:rPr>
              <w:t>Di cui:</w:t>
            </w:r>
          </w:p>
          <w:p w14:paraId="6B3F42C9" w14:textId="77777777" w:rsidR="000717F8" w:rsidRPr="004D17AE" w:rsidRDefault="000717F8" w:rsidP="004D17AE">
            <w:pPr>
              <w:spacing w:line="240" w:lineRule="auto"/>
              <w:rPr>
                <w:b/>
                <w:sz w:val="20"/>
              </w:rPr>
            </w:pPr>
            <w:r w:rsidRPr="004D17AE">
              <w:rPr>
                <w:b/>
                <w:sz w:val="20"/>
              </w:rPr>
              <w:t>Part-time</w:t>
            </w:r>
          </w:p>
          <w:p w14:paraId="74F1FE18" w14:textId="77777777" w:rsidR="000717F8" w:rsidRPr="004D17AE" w:rsidRDefault="000717F8" w:rsidP="004D17AE">
            <w:pPr>
              <w:spacing w:line="240" w:lineRule="auto"/>
              <w:rPr>
                <w:b/>
                <w:sz w:val="20"/>
              </w:rPr>
            </w:pPr>
            <w:r w:rsidRPr="004D17AE">
              <w:rPr>
                <w:b/>
                <w:sz w:val="20"/>
              </w:rPr>
              <w:t>Tempo determinato</w:t>
            </w:r>
          </w:p>
          <w:p w14:paraId="02ADE046" w14:textId="77777777" w:rsidR="000717F8" w:rsidRPr="004D17AE" w:rsidRDefault="000717F8" w:rsidP="004D17AE">
            <w:pPr>
              <w:spacing w:line="240" w:lineRule="auto"/>
              <w:rPr>
                <w:b/>
                <w:sz w:val="20"/>
                <w:lang w:eastAsia="en-US"/>
              </w:rPr>
            </w:pPr>
            <w:r w:rsidRPr="004D17AE">
              <w:rPr>
                <w:b/>
                <w:sz w:val="20"/>
              </w:rPr>
              <w:t>In aspettativa non retribuita</w:t>
            </w:r>
          </w:p>
        </w:tc>
        <w:tc>
          <w:tcPr>
            <w:tcW w:w="1843" w:type="dxa"/>
            <w:tcBorders>
              <w:top w:val="single" w:sz="4" w:space="0" w:color="auto"/>
              <w:left w:val="single" w:sz="4" w:space="0" w:color="auto"/>
              <w:bottom w:val="single" w:sz="4" w:space="0" w:color="auto"/>
              <w:right w:val="single" w:sz="4" w:space="0" w:color="auto"/>
            </w:tcBorders>
            <w:vAlign w:val="center"/>
          </w:tcPr>
          <w:p w14:paraId="63819327" w14:textId="77777777" w:rsidR="000717F8" w:rsidRPr="004D17AE" w:rsidRDefault="000717F8" w:rsidP="004D17AE">
            <w:pPr>
              <w:spacing w:line="240" w:lineRule="auto"/>
              <w:jc w:val="center"/>
              <w:rPr>
                <w:b/>
                <w:sz w:val="20"/>
              </w:rPr>
            </w:pPr>
          </w:p>
          <w:p w14:paraId="7CF72212" w14:textId="77777777" w:rsidR="000717F8" w:rsidRPr="004D17AE" w:rsidRDefault="000717F8" w:rsidP="004D17AE">
            <w:pPr>
              <w:spacing w:line="240" w:lineRule="auto"/>
              <w:jc w:val="center"/>
              <w:rPr>
                <w:b/>
                <w:sz w:val="20"/>
              </w:rPr>
            </w:pPr>
            <w:r w:rsidRPr="004D17AE">
              <w:rPr>
                <w:b/>
                <w:sz w:val="20"/>
              </w:rPr>
              <w:t>1</w:t>
            </w:r>
          </w:p>
          <w:p w14:paraId="2FE31AC1" w14:textId="77777777" w:rsidR="000717F8" w:rsidRPr="004D17AE" w:rsidRDefault="000717F8" w:rsidP="004D17AE">
            <w:pPr>
              <w:spacing w:line="240" w:lineRule="auto"/>
              <w:jc w:val="center"/>
              <w:rPr>
                <w:b/>
                <w:sz w:val="20"/>
              </w:rPr>
            </w:pPr>
            <w:r w:rsidRPr="004D17AE">
              <w:rPr>
                <w:b/>
                <w:sz w:val="20"/>
              </w:rPr>
              <w:t>0</w:t>
            </w:r>
          </w:p>
          <w:p w14:paraId="36862EA9" w14:textId="77777777" w:rsidR="000717F8" w:rsidRPr="004D17AE" w:rsidRDefault="000717F8" w:rsidP="004D17AE">
            <w:pPr>
              <w:spacing w:line="240" w:lineRule="auto"/>
              <w:jc w:val="center"/>
              <w:rPr>
                <w:b/>
                <w:sz w:val="20"/>
                <w:lang w:eastAsia="en-US"/>
              </w:rPr>
            </w:pPr>
            <w:r w:rsidRPr="004D17AE">
              <w:rPr>
                <w:b/>
                <w:sz w:val="20"/>
              </w:rPr>
              <w:t>2</w:t>
            </w:r>
          </w:p>
        </w:tc>
        <w:tc>
          <w:tcPr>
            <w:tcW w:w="1588" w:type="dxa"/>
            <w:tcBorders>
              <w:top w:val="single" w:sz="4" w:space="0" w:color="auto"/>
              <w:left w:val="single" w:sz="4" w:space="0" w:color="auto"/>
              <w:bottom w:val="single" w:sz="4" w:space="0" w:color="auto"/>
              <w:right w:val="single" w:sz="4" w:space="0" w:color="auto"/>
            </w:tcBorders>
            <w:vAlign w:val="center"/>
          </w:tcPr>
          <w:p w14:paraId="54B8ED59" w14:textId="77777777" w:rsidR="000717F8" w:rsidRPr="004D17AE" w:rsidRDefault="000717F8" w:rsidP="004D17AE">
            <w:pPr>
              <w:spacing w:line="240" w:lineRule="auto"/>
              <w:jc w:val="center"/>
              <w:rPr>
                <w:b/>
                <w:sz w:val="20"/>
              </w:rPr>
            </w:pPr>
          </w:p>
          <w:p w14:paraId="55765502" w14:textId="77777777" w:rsidR="000717F8" w:rsidRPr="004D17AE" w:rsidRDefault="000717F8" w:rsidP="004D17AE">
            <w:pPr>
              <w:spacing w:line="240" w:lineRule="auto"/>
              <w:jc w:val="center"/>
              <w:rPr>
                <w:b/>
                <w:sz w:val="20"/>
              </w:rPr>
            </w:pPr>
            <w:r w:rsidRPr="004D17AE">
              <w:rPr>
                <w:b/>
                <w:sz w:val="20"/>
              </w:rPr>
              <w:t>1</w:t>
            </w:r>
          </w:p>
          <w:p w14:paraId="37A81A39" w14:textId="77777777" w:rsidR="000717F8" w:rsidRPr="004D17AE" w:rsidRDefault="000717F8" w:rsidP="004D17AE">
            <w:pPr>
              <w:spacing w:line="240" w:lineRule="auto"/>
              <w:jc w:val="center"/>
              <w:rPr>
                <w:b/>
                <w:sz w:val="20"/>
              </w:rPr>
            </w:pPr>
            <w:r w:rsidRPr="004D17AE">
              <w:rPr>
                <w:b/>
                <w:sz w:val="20"/>
              </w:rPr>
              <w:t>1</w:t>
            </w:r>
          </w:p>
          <w:p w14:paraId="4702D725" w14:textId="77777777" w:rsidR="000717F8" w:rsidRPr="004D17AE" w:rsidRDefault="000717F8" w:rsidP="004D17AE">
            <w:pPr>
              <w:spacing w:line="240" w:lineRule="auto"/>
              <w:jc w:val="center"/>
              <w:rPr>
                <w:b/>
                <w:sz w:val="20"/>
                <w:lang w:eastAsia="en-US"/>
              </w:rPr>
            </w:pPr>
            <w:r w:rsidRPr="004D17AE">
              <w:rPr>
                <w:b/>
                <w:sz w:val="20"/>
              </w:rPr>
              <w:t>2</w:t>
            </w:r>
          </w:p>
        </w:tc>
      </w:tr>
    </w:tbl>
    <w:p w14:paraId="701BABEB" w14:textId="216BC816" w:rsidR="000717F8" w:rsidRDefault="002C14DC" w:rsidP="000717F8">
      <w:pPr>
        <w:rPr>
          <w:szCs w:val="24"/>
        </w:rPr>
      </w:pPr>
      <w:r w:rsidRPr="00162E69">
        <w:rPr>
          <w:szCs w:val="24"/>
        </w:rPr>
        <w:t xml:space="preserve">Resta in posizione di distacco presso Sitalfa un impiegato Sitaf SpA </w:t>
      </w:r>
      <w:r w:rsidR="000717F8" w:rsidRPr="00162E69">
        <w:rPr>
          <w:szCs w:val="24"/>
        </w:rPr>
        <w:t>Nell’esercizio 2021 SITALFA SpA ha continuato nelle azioni formative interne ed esterne, mirate al miglioramento professionale degli addetti della Società.</w:t>
      </w:r>
    </w:p>
    <w:p w14:paraId="5DD32EB6" w14:textId="3EE7AFEF" w:rsidR="00DF6A75" w:rsidRPr="00162E69" w:rsidRDefault="00DF6A75" w:rsidP="00DF6A75">
      <w:pPr>
        <w:pStyle w:val="Corpodeltesto2"/>
        <w:keepNext w:val="0"/>
        <w:pBdr>
          <w:top w:val="none" w:sz="0" w:space="0" w:color="auto"/>
          <w:left w:val="none" w:sz="0" w:space="0" w:color="auto"/>
          <w:bottom w:val="none" w:sz="0" w:space="0" w:color="auto"/>
          <w:right w:val="none" w:sz="0" w:space="0" w:color="auto"/>
        </w:pBdr>
        <w:textAlignment w:val="baseline"/>
        <w:rPr>
          <w:b w:val="0"/>
          <w:bCs w:val="0"/>
          <w:smallCaps w:val="0"/>
          <w:szCs w:val="24"/>
        </w:rPr>
      </w:pPr>
    </w:p>
    <w:p w14:paraId="709F4DF4" w14:textId="77777777" w:rsidR="002E643C" w:rsidRPr="00162E69" w:rsidRDefault="007A19A9">
      <w:pPr>
        <w:rPr>
          <w:b/>
          <w:bCs/>
          <w:smallCaps/>
          <w:szCs w:val="24"/>
        </w:rPr>
      </w:pPr>
      <w:r w:rsidRPr="00162E69">
        <w:rPr>
          <w:b/>
          <w:bCs/>
          <w:smallCaps/>
          <w:szCs w:val="24"/>
        </w:rPr>
        <w:t>Attività di ricerca e sviluppo</w:t>
      </w:r>
    </w:p>
    <w:p w14:paraId="2A7E85F3" w14:textId="77777777" w:rsidR="002E643C" w:rsidRPr="00162E69" w:rsidRDefault="007A19A9">
      <w:pPr>
        <w:rPr>
          <w:szCs w:val="24"/>
        </w:rPr>
      </w:pPr>
      <w:r w:rsidRPr="00162E69">
        <w:rPr>
          <w:szCs w:val="24"/>
        </w:rPr>
        <w:t>La Società non ha svolto attività di ricerca e sviluppo.</w:t>
      </w:r>
    </w:p>
    <w:p w14:paraId="52E57BF1" w14:textId="77777777" w:rsidR="002E643C" w:rsidRPr="00162E69" w:rsidRDefault="007A19A9">
      <w:pPr>
        <w:rPr>
          <w:b/>
          <w:bCs/>
          <w:smallCaps/>
          <w:szCs w:val="24"/>
        </w:rPr>
      </w:pPr>
      <w:r w:rsidRPr="00162E69">
        <w:rPr>
          <w:b/>
          <w:bCs/>
          <w:smallCaps/>
          <w:szCs w:val="24"/>
        </w:rPr>
        <w:t>I rapporti con imprese controllate, collegate, controllanti e imprese sottoposte al controllo di queste ultime</w:t>
      </w:r>
    </w:p>
    <w:p w14:paraId="48D09D06" w14:textId="77777777" w:rsidR="00F2752F" w:rsidRPr="00162E69" w:rsidRDefault="00F2752F" w:rsidP="00F2752F">
      <w:pPr>
        <w:pStyle w:val="Corpodeltesto2"/>
        <w:keepNext w:val="0"/>
        <w:pBdr>
          <w:top w:val="none" w:sz="0" w:space="0" w:color="auto"/>
          <w:left w:val="none" w:sz="0" w:space="0" w:color="auto"/>
          <w:bottom w:val="none" w:sz="0" w:space="0" w:color="auto"/>
          <w:right w:val="none" w:sz="0" w:space="0" w:color="auto"/>
        </w:pBdr>
        <w:textAlignment w:val="baseline"/>
        <w:rPr>
          <w:b w:val="0"/>
          <w:bCs w:val="0"/>
          <w:smallCaps w:val="0"/>
          <w:szCs w:val="24"/>
        </w:rPr>
      </w:pPr>
      <w:r w:rsidRPr="00162E69">
        <w:rPr>
          <w:b w:val="0"/>
          <w:bCs w:val="0"/>
          <w:smallCaps w:val="0"/>
          <w:szCs w:val="24"/>
        </w:rPr>
        <w:t xml:space="preserve">Nel corso dell'esercizio i rapporti con la società controllante Sitaf S.p.A. e con le società consociate sono rientrati nella normale operatività gestionale e gli scambi sono avvenuti alle normali condizioni di mercato. </w:t>
      </w:r>
    </w:p>
    <w:p w14:paraId="0624CC2B" w14:textId="23161E5F" w:rsidR="00F2752F" w:rsidRDefault="00F2752F" w:rsidP="00F2752F">
      <w:pPr>
        <w:pStyle w:val="Corpodeltesto2"/>
        <w:keepNext w:val="0"/>
        <w:pBdr>
          <w:top w:val="none" w:sz="0" w:space="0" w:color="auto"/>
          <w:left w:val="none" w:sz="0" w:space="0" w:color="auto"/>
          <w:bottom w:val="none" w:sz="0" w:space="0" w:color="auto"/>
          <w:right w:val="none" w:sz="0" w:space="0" w:color="auto"/>
        </w:pBdr>
        <w:textAlignment w:val="baseline"/>
        <w:rPr>
          <w:b w:val="0"/>
          <w:bCs w:val="0"/>
          <w:smallCaps w:val="0"/>
          <w:szCs w:val="24"/>
        </w:rPr>
      </w:pPr>
      <w:r w:rsidRPr="00162E69">
        <w:rPr>
          <w:b w:val="0"/>
          <w:bCs w:val="0"/>
          <w:smallCaps w:val="0"/>
          <w:szCs w:val="24"/>
        </w:rPr>
        <w:t>La Società è sottoposta al controllo della società SITAF S.p.A., che ne detiene il 100% del capitale sociale.</w:t>
      </w:r>
    </w:p>
    <w:p w14:paraId="2297F22A" w14:textId="246A0181" w:rsidR="007A6842" w:rsidRPr="00162E69" w:rsidRDefault="007A6842" w:rsidP="00F2752F">
      <w:pPr>
        <w:pStyle w:val="Corpodeltesto2"/>
        <w:keepNext w:val="0"/>
        <w:pBdr>
          <w:top w:val="none" w:sz="0" w:space="0" w:color="auto"/>
          <w:left w:val="none" w:sz="0" w:space="0" w:color="auto"/>
          <w:bottom w:val="none" w:sz="0" w:space="0" w:color="auto"/>
          <w:right w:val="none" w:sz="0" w:space="0" w:color="auto"/>
        </w:pBdr>
        <w:textAlignment w:val="baseline"/>
        <w:rPr>
          <w:b w:val="0"/>
          <w:bCs w:val="0"/>
          <w:smallCaps w:val="0"/>
          <w:szCs w:val="24"/>
        </w:rPr>
      </w:pPr>
      <w:r>
        <w:rPr>
          <w:b w:val="0"/>
          <w:bCs w:val="0"/>
          <w:smallCaps w:val="0"/>
          <w:szCs w:val="24"/>
        </w:rPr>
        <w:t xml:space="preserve">In merito ai rapporti con la società controllante SITAF SpA si segnala che le lavorazioni eseguite sono state per € 19.234.419, relative ad interventi di ordinaria manutenzione di opere civili, pavimentazioni  ed impianti A32 Torino Bardonecchia e T4 Traforo Autostradale del Frejus ed interventi di sgombero neve, quanto al residuo pari ad € 15.167.894 derivato </w:t>
      </w:r>
      <w:r>
        <w:rPr>
          <w:b w:val="0"/>
          <w:bCs w:val="0"/>
          <w:smallCaps w:val="0"/>
          <w:szCs w:val="24"/>
        </w:rPr>
        <w:lastRenderedPageBreak/>
        <w:t xml:space="preserve">dall’esecuzione di n. 29 distinte commesse di lavori </w:t>
      </w:r>
      <w:r w:rsidR="00DF6A75">
        <w:rPr>
          <w:b w:val="0"/>
          <w:bCs w:val="0"/>
          <w:smallCaps w:val="0"/>
          <w:szCs w:val="24"/>
        </w:rPr>
        <w:t xml:space="preserve"> delle quali n. 7 acquisite nel corso del 2021</w:t>
      </w:r>
    </w:p>
    <w:p w14:paraId="27953937" w14:textId="77777777" w:rsidR="00F2752F" w:rsidRPr="00162E69" w:rsidRDefault="00F2752F" w:rsidP="00F2752F">
      <w:pPr>
        <w:pStyle w:val="Corpodeltesto2"/>
        <w:keepNext w:val="0"/>
        <w:pBdr>
          <w:top w:val="none" w:sz="0" w:space="0" w:color="auto"/>
          <w:left w:val="none" w:sz="0" w:space="0" w:color="auto"/>
          <w:bottom w:val="none" w:sz="0" w:space="0" w:color="auto"/>
          <w:right w:val="none" w:sz="0" w:space="0" w:color="auto"/>
        </w:pBdr>
        <w:textAlignment w:val="baseline"/>
        <w:rPr>
          <w:b w:val="0"/>
          <w:bCs w:val="0"/>
          <w:smallCaps w:val="0"/>
          <w:szCs w:val="24"/>
        </w:rPr>
      </w:pPr>
      <w:r w:rsidRPr="00162E69">
        <w:rPr>
          <w:b w:val="0"/>
          <w:bCs w:val="0"/>
          <w:smallCaps w:val="0"/>
          <w:szCs w:val="24"/>
        </w:rPr>
        <w:t>La Società ha intrattenuto rapporti commerciali con le società consociate Musinet Engineering S.p.A., Tecnositaf S.p.A. e</w:t>
      </w:r>
      <w:r w:rsidR="00FD50BD" w:rsidRPr="00162E69">
        <w:rPr>
          <w:b w:val="0"/>
          <w:bCs w:val="0"/>
          <w:smallCaps w:val="0"/>
          <w:szCs w:val="24"/>
        </w:rPr>
        <w:t xml:space="preserve"> Ro.s.s. Safety Services Srl</w:t>
      </w:r>
      <w:r w:rsidRPr="00162E69">
        <w:rPr>
          <w:b w:val="0"/>
          <w:bCs w:val="0"/>
          <w:smallCaps w:val="0"/>
          <w:szCs w:val="24"/>
        </w:rPr>
        <w:t>, tutte controllate da SITAF S.p.A..</w:t>
      </w:r>
    </w:p>
    <w:p w14:paraId="22C0C46E" w14:textId="77777777" w:rsidR="00F2752F" w:rsidRPr="00162E69" w:rsidRDefault="00F2752F" w:rsidP="00F2752F">
      <w:pPr>
        <w:pStyle w:val="Corpodeltesto2"/>
        <w:keepNext w:val="0"/>
        <w:pBdr>
          <w:top w:val="none" w:sz="0" w:space="0" w:color="auto"/>
          <w:left w:val="none" w:sz="0" w:space="0" w:color="auto"/>
          <w:bottom w:val="none" w:sz="0" w:space="0" w:color="auto"/>
          <w:right w:val="none" w:sz="0" w:space="0" w:color="auto"/>
        </w:pBdr>
        <w:textAlignment w:val="baseline"/>
        <w:rPr>
          <w:b w:val="0"/>
          <w:bCs w:val="0"/>
          <w:smallCaps w:val="0"/>
          <w:szCs w:val="24"/>
        </w:rPr>
      </w:pPr>
      <w:r w:rsidRPr="00162E69">
        <w:rPr>
          <w:b w:val="0"/>
          <w:bCs w:val="0"/>
          <w:smallCaps w:val="0"/>
          <w:szCs w:val="24"/>
        </w:rPr>
        <w:t xml:space="preserve">Per quanto attiene alla Musinet Engineering SpA, la Sitalfa ha proseguito a svolgere per conto della suddetta società lavori di manutenzione e conduzione dell’impianto di riscaldamento, condizionamento e idricosanitario, elettrico e d’illuminazione per </w:t>
      </w:r>
      <w:r w:rsidR="005018D7" w:rsidRPr="00162E69">
        <w:rPr>
          <w:b w:val="0"/>
          <w:bCs w:val="0"/>
          <w:smallCaps w:val="0"/>
          <w:szCs w:val="24"/>
        </w:rPr>
        <w:t>oltre</w:t>
      </w:r>
      <w:r w:rsidRPr="00162E69">
        <w:rPr>
          <w:b w:val="0"/>
          <w:bCs w:val="0"/>
          <w:smallCaps w:val="0"/>
          <w:szCs w:val="24"/>
        </w:rPr>
        <w:t xml:space="preserve"> € </w:t>
      </w:r>
      <w:r w:rsidR="00501D9D" w:rsidRPr="00162E69">
        <w:rPr>
          <w:b w:val="0"/>
          <w:bCs w:val="0"/>
          <w:smallCaps w:val="0"/>
          <w:szCs w:val="24"/>
        </w:rPr>
        <w:t>5</w:t>
      </w:r>
      <w:r w:rsidRPr="00162E69">
        <w:rPr>
          <w:b w:val="0"/>
          <w:bCs w:val="0"/>
          <w:smallCaps w:val="0"/>
          <w:szCs w:val="24"/>
        </w:rPr>
        <w:t>.</w:t>
      </w:r>
      <w:r w:rsidR="005018D7" w:rsidRPr="00162E69">
        <w:rPr>
          <w:b w:val="0"/>
          <w:bCs w:val="0"/>
          <w:smallCaps w:val="0"/>
          <w:szCs w:val="24"/>
        </w:rPr>
        <w:t>00</w:t>
      </w:r>
      <w:r w:rsidRPr="00162E69">
        <w:rPr>
          <w:b w:val="0"/>
          <w:bCs w:val="0"/>
          <w:smallCaps w:val="0"/>
          <w:szCs w:val="24"/>
        </w:rPr>
        <w:t xml:space="preserve">0 e prestazioni di servizio per circa € </w:t>
      </w:r>
      <w:r w:rsidR="00501D9D" w:rsidRPr="00162E69">
        <w:rPr>
          <w:b w:val="0"/>
          <w:bCs w:val="0"/>
          <w:smallCaps w:val="0"/>
          <w:szCs w:val="24"/>
        </w:rPr>
        <w:t>419</w:t>
      </w:r>
      <w:r w:rsidRPr="00162E69">
        <w:rPr>
          <w:b w:val="0"/>
          <w:bCs w:val="0"/>
          <w:smallCaps w:val="0"/>
          <w:szCs w:val="24"/>
        </w:rPr>
        <w:t xml:space="preserve">.000. </w:t>
      </w:r>
    </w:p>
    <w:p w14:paraId="583C7472" w14:textId="77777777" w:rsidR="00F2752F" w:rsidRPr="00162E69" w:rsidRDefault="00F2752F" w:rsidP="00F2752F">
      <w:pPr>
        <w:pStyle w:val="Corpodeltesto2"/>
        <w:keepNext w:val="0"/>
        <w:pBdr>
          <w:top w:val="none" w:sz="0" w:space="0" w:color="auto"/>
          <w:left w:val="none" w:sz="0" w:space="0" w:color="auto"/>
          <w:bottom w:val="none" w:sz="0" w:space="0" w:color="auto"/>
          <w:right w:val="none" w:sz="0" w:space="0" w:color="auto"/>
        </w:pBdr>
        <w:textAlignment w:val="baseline"/>
        <w:rPr>
          <w:b w:val="0"/>
          <w:bCs w:val="0"/>
          <w:smallCaps w:val="0"/>
          <w:szCs w:val="24"/>
        </w:rPr>
      </w:pPr>
      <w:r w:rsidRPr="00162E69">
        <w:rPr>
          <w:b w:val="0"/>
          <w:bCs w:val="0"/>
          <w:smallCaps w:val="0"/>
          <w:szCs w:val="24"/>
        </w:rPr>
        <w:t xml:space="preserve">Riguardo </w:t>
      </w:r>
      <w:r w:rsidR="00B33C20" w:rsidRPr="00162E69">
        <w:rPr>
          <w:b w:val="0"/>
          <w:bCs w:val="0"/>
          <w:smallCaps w:val="0"/>
          <w:szCs w:val="24"/>
        </w:rPr>
        <w:t>Ro.s.s. Safety Service</w:t>
      </w:r>
      <w:r w:rsidR="00987344" w:rsidRPr="00162E69">
        <w:rPr>
          <w:b w:val="0"/>
          <w:bCs w:val="0"/>
          <w:smallCaps w:val="0"/>
          <w:szCs w:val="24"/>
        </w:rPr>
        <w:t>s Srl</w:t>
      </w:r>
      <w:r w:rsidR="00B33C20" w:rsidRPr="00162E69">
        <w:rPr>
          <w:b w:val="0"/>
          <w:bCs w:val="0"/>
          <w:smallCaps w:val="0"/>
          <w:szCs w:val="24"/>
        </w:rPr>
        <w:t xml:space="preserve"> </w:t>
      </w:r>
      <w:r w:rsidRPr="00162E69">
        <w:rPr>
          <w:b w:val="0"/>
          <w:bCs w:val="0"/>
          <w:smallCaps w:val="0"/>
          <w:szCs w:val="24"/>
        </w:rPr>
        <w:t xml:space="preserve">la Sitalfa ha effettuato prestazioni di servizi per circa € </w:t>
      </w:r>
      <w:r w:rsidR="00501D9D" w:rsidRPr="00162E69">
        <w:rPr>
          <w:b w:val="0"/>
          <w:bCs w:val="0"/>
          <w:smallCaps w:val="0"/>
          <w:szCs w:val="24"/>
        </w:rPr>
        <w:t>13.0</w:t>
      </w:r>
      <w:r w:rsidRPr="00162E69">
        <w:rPr>
          <w:b w:val="0"/>
          <w:bCs w:val="0"/>
          <w:smallCaps w:val="0"/>
          <w:szCs w:val="24"/>
        </w:rPr>
        <w:t>00.</w:t>
      </w:r>
    </w:p>
    <w:p w14:paraId="224C1401" w14:textId="77777777" w:rsidR="00F2752F" w:rsidRPr="00162E69" w:rsidRDefault="00F2752F" w:rsidP="00F2752F">
      <w:pPr>
        <w:pStyle w:val="Corpodeltesto2"/>
        <w:keepNext w:val="0"/>
        <w:pBdr>
          <w:top w:val="none" w:sz="0" w:space="0" w:color="auto"/>
          <w:left w:val="none" w:sz="0" w:space="0" w:color="auto"/>
          <w:bottom w:val="none" w:sz="0" w:space="0" w:color="auto"/>
          <w:right w:val="none" w:sz="0" w:space="0" w:color="auto"/>
        </w:pBdr>
        <w:textAlignment w:val="baseline"/>
        <w:rPr>
          <w:b w:val="0"/>
          <w:bCs w:val="0"/>
          <w:smallCaps w:val="0"/>
          <w:szCs w:val="24"/>
        </w:rPr>
      </w:pPr>
      <w:r w:rsidRPr="00162E69">
        <w:rPr>
          <w:b w:val="0"/>
          <w:bCs w:val="0"/>
          <w:smallCaps w:val="0"/>
          <w:szCs w:val="24"/>
        </w:rPr>
        <w:t>Infine</w:t>
      </w:r>
      <w:r w:rsidR="00D35C65" w:rsidRPr="00162E69">
        <w:rPr>
          <w:b w:val="0"/>
          <w:bCs w:val="0"/>
          <w:smallCaps w:val="0"/>
          <w:szCs w:val="24"/>
        </w:rPr>
        <w:t>,</w:t>
      </w:r>
      <w:r w:rsidRPr="00162E69">
        <w:rPr>
          <w:b w:val="0"/>
          <w:bCs w:val="0"/>
          <w:smallCaps w:val="0"/>
          <w:szCs w:val="24"/>
        </w:rPr>
        <w:t xml:space="preserve"> per quanto riguarda Tecnositaf SpA, la Sitalfa ha effettuato prestazioni di servizi per </w:t>
      </w:r>
      <w:r w:rsidR="00501D9D" w:rsidRPr="00162E69">
        <w:rPr>
          <w:b w:val="0"/>
          <w:bCs w:val="0"/>
          <w:smallCaps w:val="0"/>
          <w:szCs w:val="24"/>
        </w:rPr>
        <w:t>circa 12</w:t>
      </w:r>
      <w:r w:rsidRPr="00162E69">
        <w:rPr>
          <w:b w:val="0"/>
          <w:bCs w:val="0"/>
          <w:smallCaps w:val="0"/>
          <w:szCs w:val="24"/>
        </w:rPr>
        <w:t>.000 €.</w:t>
      </w:r>
    </w:p>
    <w:p w14:paraId="5BA834FE" w14:textId="221A2E89" w:rsidR="00F2752F" w:rsidRDefault="00F2752F" w:rsidP="00F459FA">
      <w:pPr>
        <w:pStyle w:val="Corpodeltesto2"/>
        <w:keepNext w:val="0"/>
        <w:pBdr>
          <w:top w:val="none" w:sz="0" w:space="0" w:color="auto"/>
          <w:left w:val="none" w:sz="0" w:space="0" w:color="auto"/>
          <w:bottom w:val="none" w:sz="0" w:space="0" w:color="auto"/>
          <w:right w:val="none" w:sz="0" w:space="0" w:color="auto"/>
        </w:pBdr>
        <w:shd w:val="clear" w:color="auto" w:fill="auto"/>
        <w:textAlignment w:val="baseline"/>
        <w:rPr>
          <w:b w:val="0"/>
          <w:bCs w:val="0"/>
          <w:smallCaps w:val="0"/>
          <w:szCs w:val="24"/>
        </w:rPr>
      </w:pPr>
      <w:r w:rsidRPr="00162E69">
        <w:rPr>
          <w:b w:val="0"/>
          <w:bCs w:val="0"/>
          <w:smallCaps w:val="0"/>
          <w:szCs w:val="24"/>
        </w:rPr>
        <w:t>Per un riepilogo dei saldi infra-gruppo si rimanda al prospetto seguente (in migliaia di Euro):</w:t>
      </w:r>
    </w:p>
    <w:p w14:paraId="6177F8E3" w14:textId="5294025E" w:rsidR="00302FC9" w:rsidRDefault="00302FC9" w:rsidP="00F459FA">
      <w:pPr>
        <w:pStyle w:val="Corpodeltesto2"/>
        <w:keepNext w:val="0"/>
        <w:pBdr>
          <w:top w:val="none" w:sz="0" w:space="0" w:color="auto"/>
          <w:left w:val="none" w:sz="0" w:space="0" w:color="auto"/>
          <w:bottom w:val="none" w:sz="0" w:space="0" w:color="auto"/>
          <w:right w:val="none" w:sz="0" w:space="0" w:color="auto"/>
        </w:pBdr>
        <w:shd w:val="clear" w:color="auto" w:fill="auto"/>
        <w:textAlignment w:val="baseline"/>
        <w:rPr>
          <w:b w:val="0"/>
          <w:bCs w:val="0"/>
          <w:smallCaps w:val="0"/>
          <w:szCs w:val="24"/>
        </w:rPr>
      </w:pPr>
    </w:p>
    <w:p w14:paraId="132BAB30" w14:textId="77777777" w:rsidR="00302FC9" w:rsidRPr="00162E69" w:rsidRDefault="00302FC9" w:rsidP="00F459FA">
      <w:pPr>
        <w:pStyle w:val="Corpodeltesto2"/>
        <w:keepNext w:val="0"/>
        <w:pBdr>
          <w:top w:val="none" w:sz="0" w:space="0" w:color="auto"/>
          <w:left w:val="none" w:sz="0" w:space="0" w:color="auto"/>
          <w:bottom w:val="none" w:sz="0" w:space="0" w:color="auto"/>
          <w:right w:val="none" w:sz="0" w:space="0" w:color="auto"/>
        </w:pBdr>
        <w:shd w:val="clear" w:color="auto" w:fill="auto"/>
        <w:textAlignment w:val="baseline"/>
        <w:rPr>
          <w:b w:val="0"/>
          <w:bCs w:val="0"/>
          <w:smallCaps w:val="0"/>
          <w:szCs w:val="24"/>
        </w:rPr>
      </w:pPr>
    </w:p>
    <w:p w14:paraId="5F05CAD0" w14:textId="77777777" w:rsidR="00F2752F" w:rsidRPr="00162E69" w:rsidRDefault="004D17AE" w:rsidP="004D17AE">
      <w:pPr>
        <w:pStyle w:val="Corpodeltesto2"/>
        <w:keepNext w:val="0"/>
        <w:pBdr>
          <w:top w:val="none" w:sz="0" w:space="0" w:color="auto"/>
          <w:left w:val="none" w:sz="0" w:space="0" w:color="auto"/>
          <w:bottom w:val="none" w:sz="0" w:space="0" w:color="auto"/>
          <w:right w:val="none" w:sz="0" w:space="0" w:color="auto"/>
        </w:pBdr>
        <w:jc w:val="right"/>
        <w:textAlignment w:val="baseline"/>
        <w:rPr>
          <w:b w:val="0"/>
          <w:bCs w:val="0"/>
          <w:smallCaps w:val="0"/>
          <w:szCs w:val="24"/>
        </w:rPr>
      </w:pPr>
      <w:r w:rsidRPr="004D17AE">
        <w:rPr>
          <w:b w:val="0"/>
          <w:bCs w:val="0"/>
          <w:smallCaps w:val="0"/>
          <w:szCs w:val="24"/>
        </w:rPr>
        <w:t>(importi in migliaia di euro)</w:t>
      </w:r>
    </w:p>
    <w:tbl>
      <w:tblPr>
        <w:tblW w:w="7333" w:type="dxa"/>
        <w:tblInd w:w="-10" w:type="dxa"/>
        <w:tblLayout w:type="fixed"/>
        <w:tblCellMar>
          <w:left w:w="10" w:type="dxa"/>
          <w:right w:w="10" w:type="dxa"/>
        </w:tblCellMar>
        <w:tblLook w:val="0000" w:firstRow="0" w:lastRow="0" w:firstColumn="0" w:lastColumn="0" w:noHBand="0" w:noVBand="0"/>
      </w:tblPr>
      <w:tblGrid>
        <w:gridCol w:w="1485"/>
        <w:gridCol w:w="731"/>
        <w:gridCol w:w="731"/>
        <w:gridCol w:w="731"/>
        <w:gridCol w:w="731"/>
        <w:gridCol w:w="731"/>
        <w:gridCol w:w="731"/>
        <w:gridCol w:w="731"/>
        <w:gridCol w:w="731"/>
      </w:tblGrid>
      <w:tr w:rsidR="004D17AE" w:rsidRPr="004D17AE" w14:paraId="68ECA08E" w14:textId="77777777" w:rsidTr="004D17AE">
        <w:trPr>
          <w:trHeight w:val="898"/>
        </w:trPr>
        <w:tc>
          <w:tcPr>
            <w:tcW w:w="1485" w:type="dxa"/>
            <w:tcBorders>
              <w:top w:val="single" w:sz="8" w:space="0" w:color="000000"/>
              <w:left w:val="single" w:sz="8" w:space="0" w:color="000000"/>
              <w:bottom w:val="single" w:sz="8" w:space="0" w:color="000000"/>
              <w:right w:val="single" w:sz="8" w:space="0" w:color="000000"/>
            </w:tcBorders>
            <w:shd w:val="clear" w:color="auto" w:fill="D0CECE" w:themeFill="background2" w:themeFillShade="E6"/>
            <w:noWrap/>
            <w:tcMar>
              <w:top w:w="0" w:type="dxa"/>
              <w:left w:w="70" w:type="dxa"/>
              <w:bottom w:w="0" w:type="dxa"/>
              <w:right w:w="70" w:type="dxa"/>
            </w:tcMar>
            <w:vAlign w:val="center"/>
          </w:tcPr>
          <w:p w14:paraId="7C4285E5" w14:textId="77777777" w:rsidR="003D05C0" w:rsidRPr="004D17AE" w:rsidRDefault="003D05C0" w:rsidP="00F94807">
            <w:pPr>
              <w:spacing w:line="240" w:lineRule="auto"/>
              <w:jc w:val="center"/>
              <w:rPr>
                <w:b/>
                <w:bCs/>
                <w:sz w:val="16"/>
                <w:szCs w:val="16"/>
              </w:rPr>
            </w:pPr>
            <w:r w:rsidRPr="004D17AE">
              <w:rPr>
                <w:b/>
                <w:bCs/>
                <w:sz w:val="16"/>
                <w:szCs w:val="16"/>
              </w:rPr>
              <w:t>società</w:t>
            </w:r>
          </w:p>
          <w:p w14:paraId="1F179775" w14:textId="77777777" w:rsidR="003D05C0" w:rsidRPr="004D17AE" w:rsidRDefault="003D05C0" w:rsidP="003D05C0">
            <w:pPr>
              <w:spacing w:line="240" w:lineRule="auto"/>
              <w:jc w:val="center"/>
              <w:rPr>
                <w:b/>
                <w:bCs/>
                <w:sz w:val="16"/>
                <w:szCs w:val="16"/>
              </w:rPr>
            </w:pPr>
            <w:r w:rsidRPr="004D17AE">
              <w:rPr>
                <w:b/>
                <w:bCs/>
                <w:sz w:val="16"/>
                <w:szCs w:val="16"/>
              </w:rPr>
              <w:t>(importi in migliaia di euro)</w:t>
            </w:r>
          </w:p>
        </w:tc>
        <w:tc>
          <w:tcPr>
            <w:tcW w:w="731" w:type="dxa"/>
            <w:tcBorders>
              <w:top w:val="single" w:sz="8" w:space="0" w:color="000000"/>
              <w:bottom w:val="single" w:sz="8" w:space="0" w:color="000000"/>
              <w:right w:val="single" w:sz="8" w:space="0" w:color="000000"/>
            </w:tcBorders>
            <w:shd w:val="clear" w:color="auto" w:fill="D0CECE" w:themeFill="background2" w:themeFillShade="E6"/>
            <w:noWrap/>
            <w:tcMar>
              <w:top w:w="0" w:type="dxa"/>
              <w:left w:w="70" w:type="dxa"/>
              <w:bottom w:w="0" w:type="dxa"/>
              <w:right w:w="70" w:type="dxa"/>
            </w:tcMar>
            <w:vAlign w:val="center"/>
          </w:tcPr>
          <w:p w14:paraId="671A2151" w14:textId="77777777" w:rsidR="003D05C0" w:rsidRPr="004D17AE" w:rsidRDefault="003D05C0" w:rsidP="003D05C0">
            <w:pPr>
              <w:spacing w:line="240" w:lineRule="auto"/>
              <w:jc w:val="center"/>
              <w:rPr>
                <w:b/>
                <w:bCs/>
                <w:sz w:val="16"/>
                <w:szCs w:val="16"/>
              </w:rPr>
            </w:pPr>
            <w:r w:rsidRPr="004D17AE">
              <w:rPr>
                <w:b/>
                <w:bCs/>
                <w:sz w:val="16"/>
                <w:szCs w:val="16"/>
              </w:rPr>
              <w:t>crediti</w:t>
            </w:r>
          </w:p>
        </w:tc>
        <w:tc>
          <w:tcPr>
            <w:tcW w:w="731" w:type="dxa"/>
            <w:tcBorders>
              <w:top w:val="single" w:sz="8" w:space="0" w:color="000000"/>
              <w:bottom w:val="single" w:sz="8" w:space="0" w:color="000000"/>
              <w:right w:val="single" w:sz="8" w:space="0" w:color="000000"/>
            </w:tcBorders>
            <w:shd w:val="clear" w:color="auto" w:fill="D0CECE" w:themeFill="background2" w:themeFillShade="E6"/>
            <w:noWrap/>
            <w:tcMar>
              <w:top w:w="0" w:type="dxa"/>
              <w:left w:w="70" w:type="dxa"/>
              <w:bottom w:w="0" w:type="dxa"/>
              <w:right w:w="70" w:type="dxa"/>
            </w:tcMar>
            <w:vAlign w:val="center"/>
          </w:tcPr>
          <w:p w14:paraId="707D1B01" w14:textId="77777777" w:rsidR="003D05C0" w:rsidRPr="004D17AE" w:rsidRDefault="003D05C0" w:rsidP="003D05C0">
            <w:pPr>
              <w:spacing w:line="240" w:lineRule="auto"/>
              <w:jc w:val="center"/>
              <w:rPr>
                <w:b/>
                <w:bCs/>
                <w:sz w:val="16"/>
                <w:szCs w:val="16"/>
              </w:rPr>
            </w:pPr>
            <w:r w:rsidRPr="004D17AE">
              <w:rPr>
                <w:b/>
                <w:bCs/>
                <w:sz w:val="16"/>
                <w:szCs w:val="16"/>
              </w:rPr>
              <w:t>debiti</w:t>
            </w:r>
          </w:p>
        </w:tc>
        <w:tc>
          <w:tcPr>
            <w:tcW w:w="731" w:type="dxa"/>
            <w:tcBorders>
              <w:top w:val="single" w:sz="8" w:space="0" w:color="000000"/>
              <w:bottom w:val="single" w:sz="8" w:space="0" w:color="000000"/>
              <w:right w:val="single" w:sz="8" w:space="0" w:color="000000"/>
            </w:tcBorders>
            <w:shd w:val="clear" w:color="auto" w:fill="D0CECE" w:themeFill="background2" w:themeFillShade="E6"/>
            <w:tcMar>
              <w:top w:w="0" w:type="dxa"/>
              <w:left w:w="70" w:type="dxa"/>
              <w:bottom w:w="0" w:type="dxa"/>
              <w:right w:w="70" w:type="dxa"/>
            </w:tcMar>
          </w:tcPr>
          <w:p w14:paraId="0A81FBDD" w14:textId="77777777" w:rsidR="00F94807" w:rsidRPr="004D17AE" w:rsidRDefault="00F94807" w:rsidP="003D05C0">
            <w:pPr>
              <w:spacing w:line="240" w:lineRule="auto"/>
              <w:jc w:val="center"/>
              <w:rPr>
                <w:b/>
                <w:bCs/>
                <w:sz w:val="16"/>
                <w:szCs w:val="16"/>
              </w:rPr>
            </w:pPr>
          </w:p>
          <w:p w14:paraId="37A8028F" w14:textId="77777777" w:rsidR="003D05C0" w:rsidRPr="004D17AE" w:rsidRDefault="003D05C0" w:rsidP="003D05C0">
            <w:pPr>
              <w:spacing w:line="240" w:lineRule="auto"/>
              <w:jc w:val="center"/>
              <w:rPr>
                <w:b/>
                <w:bCs/>
                <w:sz w:val="16"/>
                <w:szCs w:val="16"/>
              </w:rPr>
            </w:pPr>
            <w:r w:rsidRPr="004D17AE">
              <w:rPr>
                <w:b/>
                <w:bCs/>
                <w:sz w:val="16"/>
                <w:szCs w:val="16"/>
              </w:rPr>
              <w:t>Lavori in corso</w:t>
            </w:r>
          </w:p>
        </w:tc>
        <w:tc>
          <w:tcPr>
            <w:tcW w:w="731" w:type="dxa"/>
            <w:tcBorders>
              <w:top w:val="single" w:sz="8" w:space="0" w:color="000000"/>
              <w:bottom w:val="single" w:sz="8" w:space="0" w:color="000000"/>
              <w:right w:val="single" w:sz="8" w:space="0" w:color="000000"/>
            </w:tcBorders>
            <w:shd w:val="clear" w:color="auto" w:fill="D0CECE" w:themeFill="background2" w:themeFillShade="E6"/>
          </w:tcPr>
          <w:p w14:paraId="43770768" w14:textId="77777777" w:rsidR="00F94807" w:rsidRPr="004D17AE" w:rsidRDefault="00F94807" w:rsidP="003D05C0">
            <w:pPr>
              <w:spacing w:line="240" w:lineRule="auto"/>
              <w:jc w:val="center"/>
              <w:rPr>
                <w:b/>
                <w:bCs/>
                <w:sz w:val="16"/>
                <w:szCs w:val="16"/>
              </w:rPr>
            </w:pPr>
          </w:p>
          <w:p w14:paraId="48640A5B" w14:textId="77777777" w:rsidR="003D05C0" w:rsidRPr="004D17AE" w:rsidRDefault="003D05C0" w:rsidP="003D05C0">
            <w:pPr>
              <w:spacing w:line="240" w:lineRule="auto"/>
              <w:jc w:val="center"/>
              <w:rPr>
                <w:b/>
                <w:bCs/>
                <w:sz w:val="16"/>
                <w:szCs w:val="16"/>
              </w:rPr>
            </w:pPr>
            <w:r w:rsidRPr="004D17AE">
              <w:rPr>
                <w:b/>
                <w:bCs/>
                <w:sz w:val="16"/>
                <w:szCs w:val="16"/>
              </w:rPr>
              <w:t xml:space="preserve">Anticipi da cliente </w:t>
            </w:r>
          </w:p>
        </w:tc>
        <w:tc>
          <w:tcPr>
            <w:tcW w:w="731" w:type="dxa"/>
            <w:tcBorders>
              <w:top w:val="single" w:sz="8" w:space="0" w:color="000000"/>
              <w:left w:val="single" w:sz="8" w:space="0" w:color="000000"/>
              <w:bottom w:val="single" w:sz="8" w:space="0" w:color="000000"/>
              <w:right w:val="single" w:sz="8" w:space="0" w:color="000000"/>
            </w:tcBorders>
            <w:shd w:val="clear" w:color="auto" w:fill="D0CECE" w:themeFill="background2" w:themeFillShade="E6"/>
            <w:noWrap/>
            <w:tcMar>
              <w:top w:w="0" w:type="dxa"/>
              <w:left w:w="70" w:type="dxa"/>
              <w:bottom w:w="0" w:type="dxa"/>
              <w:right w:w="70" w:type="dxa"/>
            </w:tcMar>
            <w:vAlign w:val="center"/>
          </w:tcPr>
          <w:p w14:paraId="40EE1C47" w14:textId="77777777" w:rsidR="003D05C0" w:rsidRPr="004D17AE" w:rsidRDefault="003D05C0" w:rsidP="003D05C0">
            <w:pPr>
              <w:spacing w:line="240" w:lineRule="auto"/>
              <w:jc w:val="center"/>
              <w:rPr>
                <w:b/>
                <w:bCs/>
                <w:sz w:val="16"/>
                <w:szCs w:val="16"/>
              </w:rPr>
            </w:pPr>
            <w:r w:rsidRPr="004D17AE">
              <w:rPr>
                <w:b/>
                <w:bCs/>
                <w:sz w:val="16"/>
                <w:szCs w:val="16"/>
              </w:rPr>
              <w:t>costi</w:t>
            </w:r>
          </w:p>
        </w:tc>
        <w:tc>
          <w:tcPr>
            <w:tcW w:w="731" w:type="dxa"/>
            <w:tcBorders>
              <w:top w:val="single" w:sz="8" w:space="0" w:color="000000"/>
              <w:bottom w:val="single" w:sz="8" w:space="0" w:color="000000"/>
              <w:right w:val="single" w:sz="8" w:space="0" w:color="000000"/>
            </w:tcBorders>
            <w:shd w:val="clear" w:color="auto" w:fill="D0CECE" w:themeFill="background2" w:themeFillShade="E6"/>
            <w:noWrap/>
            <w:tcMar>
              <w:top w:w="0" w:type="dxa"/>
              <w:left w:w="70" w:type="dxa"/>
              <w:bottom w:w="0" w:type="dxa"/>
              <w:right w:w="70" w:type="dxa"/>
            </w:tcMar>
            <w:vAlign w:val="center"/>
          </w:tcPr>
          <w:p w14:paraId="09BF93C2" w14:textId="77777777" w:rsidR="003D05C0" w:rsidRPr="004D17AE" w:rsidRDefault="003D05C0" w:rsidP="003D05C0">
            <w:pPr>
              <w:spacing w:line="240" w:lineRule="auto"/>
              <w:jc w:val="center"/>
              <w:rPr>
                <w:b/>
                <w:bCs/>
                <w:sz w:val="16"/>
                <w:szCs w:val="16"/>
              </w:rPr>
            </w:pPr>
            <w:r w:rsidRPr="004D17AE">
              <w:rPr>
                <w:b/>
                <w:bCs/>
                <w:sz w:val="16"/>
                <w:szCs w:val="16"/>
              </w:rPr>
              <w:t>ricavi</w:t>
            </w:r>
          </w:p>
        </w:tc>
        <w:tc>
          <w:tcPr>
            <w:tcW w:w="731" w:type="dxa"/>
            <w:tcBorders>
              <w:top w:val="single" w:sz="8" w:space="0" w:color="000000"/>
              <w:bottom w:val="single" w:sz="8" w:space="0" w:color="000000"/>
              <w:right w:val="single" w:sz="8" w:space="0" w:color="000000"/>
            </w:tcBorders>
            <w:shd w:val="clear" w:color="auto" w:fill="D0CECE" w:themeFill="background2" w:themeFillShade="E6"/>
            <w:noWrap/>
            <w:tcMar>
              <w:top w:w="0" w:type="dxa"/>
              <w:left w:w="70" w:type="dxa"/>
              <w:bottom w:w="0" w:type="dxa"/>
              <w:right w:w="70" w:type="dxa"/>
            </w:tcMar>
            <w:vAlign w:val="center"/>
          </w:tcPr>
          <w:p w14:paraId="1594234A" w14:textId="77777777" w:rsidR="003D05C0" w:rsidRPr="004D17AE" w:rsidRDefault="003D05C0" w:rsidP="003D05C0">
            <w:pPr>
              <w:spacing w:line="240" w:lineRule="auto"/>
              <w:jc w:val="center"/>
              <w:rPr>
                <w:b/>
                <w:bCs/>
                <w:sz w:val="16"/>
                <w:szCs w:val="16"/>
              </w:rPr>
            </w:pPr>
            <w:r w:rsidRPr="004D17AE">
              <w:rPr>
                <w:b/>
                <w:bCs/>
                <w:sz w:val="16"/>
                <w:szCs w:val="16"/>
              </w:rPr>
              <w:t>garanzie</w:t>
            </w:r>
          </w:p>
        </w:tc>
        <w:tc>
          <w:tcPr>
            <w:tcW w:w="731" w:type="dxa"/>
            <w:tcBorders>
              <w:top w:val="single" w:sz="8" w:space="0" w:color="000000"/>
              <w:bottom w:val="single" w:sz="8" w:space="0" w:color="000000"/>
              <w:right w:val="single" w:sz="8" w:space="0" w:color="000000"/>
            </w:tcBorders>
            <w:shd w:val="clear" w:color="auto" w:fill="D0CECE" w:themeFill="background2" w:themeFillShade="E6"/>
            <w:noWrap/>
            <w:tcMar>
              <w:top w:w="0" w:type="dxa"/>
              <w:left w:w="70" w:type="dxa"/>
              <w:bottom w:w="0" w:type="dxa"/>
              <w:right w:w="70" w:type="dxa"/>
            </w:tcMar>
            <w:vAlign w:val="center"/>
          </w:tcPr>
          <w:p w14:paraId="6F1A8EFE" w14:textId="77777777" w:rsidR="003D05C0" w:rsidRPr="004D17AE" w:rsidRDefault="003D05C0" w:rsidP="003D05C0">
            <w:pPr>
              <w:spacing w:line="240" w:lineRule="auto"/>
              <w:jc w:val="center"/>
              <w:rPr>
                <w:b/>
                <w:bCs/>
                <w:sz w:val="16"/>
                <w:szCs w:val="16"/>
              </w:rPr>
            </w:pPr>
            <w:r w:rsidRPr="004D17AE">
              <w:rPr>
                <w:b/>
                <w:bCs/>
                <w:sz w:val="16"/>
                <w:szCs w:val="16"/>
              </w:rPr>
              <w:t>Impegni</w:t>
            </w:r>
          </w:p>
        </w:tc>
      </w:tr>
      <w:tr w:rsidR="00162E69" w:rsidRPr="004D17AE" w14:paraId="7865A98B" w14:textId="77777777" w:rsidTr="004D17AE">
        <w:trPr>
          <w:trHeight w:val="237"/>
        </w:trPr>
        <w:tc>
          <w:tcPr>
            <w:tcW w:w="1485"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58D85235" w14:textId="77777777" w:rsidR="003D05C0" w:rsidRPr="004D17AE" w:rsidRDefault="003D05C0" w:rsidP="00B824C0">
            <w:pPr>
              <w:spacing w:line="240" w:lineRule="auto"/>
              <w:rPr>
                <w:bCs/>
                <w:sz w:val="18"/>
                <w:szCs w:val="18"/>
              </w:rPr>
            </w:pPr>
            <w:r w:rsidRPr="004D17AE">
              <w:rPr>
                <w:bCs/>
                <w:sz w:val="18"/>
                <w:szCs w:val="18"/>
              </w:rPr>
              <w:t>Sitaf S</w:t>
            </w:r>
            <w:r w:rsidR="00FD50BD" w:rsidRPr="004D17AE">
              <w:rPr>
                <w:bCs/>
                <w:sz w:val="18"/>
                <w:szCs w:val="18"/>
              </w:rPr>
              <w:t>pA</w:t>
            </w:r>
          </w:p>
        </w:tc>
        <w:tc>
          <w:tcPr>
            <w:tcW w:w="731"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7DD6A74C" w14:textId="77777777" w:rsidR="003D05C0" w:rsidRPr="004D17AE" w:rsidRDefault="00501D9D" w:rsidP="00B824C0">
            <w:pPr>
              <w:spacing w:line="240" w:lineRule="auto"/>
              <w:jc w:val="right"/>
              <w:rPr>
                <w:sz w:val="18"/>
                <w:szCs w:val="18"/>
              </w:rPr>
            </w:pPr>
            <w:r w:rsidRPr="004D17AE">
              <w:rPr>
                <w:sz w:val="18"/>
                <w:szCs w:val="18"/>
              </w:rPr>
              <w:t>29.219</w:t>
            </w:r>
          </w:p>
        </w:tc>
        <w:tc>
          <w:tcPr>
            <w:tcW w:w="731"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2EDD0BF7" w14:textId="77777777" w:rsidR="003D05C0" w:rsidRPr="004D17AE" w:rsidRDefault="00501D9D" w:rsidP="00B824C0">
            <w:pPr>
              <w:spacing w:line="240" w:lineRule="auto"/>
              <w:jc w:val="right"/>
              <w:rPr>
                <w:sz w:val="18"/>
                <w:szCs w:val="18"/>
              </w:rPr>
            </w:pPr>
            <w:r w:rsidRPr="004D17AE">
              <w:rPr>
                <w:sz w:val="18"/>
                <w:szCs w:val="18"/>
              </w:rPr>
              <w:t>81</w:t>
            </w:r>
          </w:p>
        </w:tc>
        <w:tc>
          <w:tcPr>
            <w:tcW w:w="731"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bottom"/>
          </w:tcPr>
          <w:p w14:paraId="7120D839" w14:textId="77777777" w:rsidR="003D05C0" w:rsidRPr="004D17AE" w:rsidRDefault="00501D9D" w:rsidP="00496C30">
            <w:pPr>
              <w:spacing w:line="240" w:lineRule="auto"/>
              <w:jc w:val="right"/>
              <w:rPr>
                <w:sz w:val="18"/>
                <w:szCs w:val="18"/>
              </w:rPr>
            </w:pPr>
            <w:r w:rsidRPr="004D17AE">
              <w:rPr>
                <w:sz w:val="18"/>
                <w:szCs w:val="18"/>
              </w:rPr>
              <w:t>158.654</w:t>
            </w:r>
          </w:p>
        </w:tc>
        <w:tc>
          <w:tcPr>
            <w:tcW w:w="731" w:type="dxa"/>
            <w:tcBorders>
              <w:bottom w:val="single" w:sz="8" w:space="0" w:color="000000"/>
              <w:right w:val="single" w:sz="8" w:space="0" w:color="000000"/>
            </w:tcBorders>
            <w:vAlign w:val="bottom"/>
          </w:tcPr>
          <w:p w14:paraId="1413E637" w14:textId="77777777" w:rsidR="003D05C0" w:rsidRPr="004D17AE" w:rsidRDefault="00501D9D" w:rsidP="00F94807">
            <w:pPr>
              <w:spacing w:line="240" w:lineRule="auto"/>
              <w:jc w:val="center"/>
              <w:rPr>
                <w:sz w:val="18"/>
                <w:szCs w:val="18"/>
              </w:rPr>
            </w:pPr>
            <w:r w:rsidRPr="004D17AE">
              <w:rPr>
                <w:sz w:val="18"/>
                <w:szCs w:val="18"/>
              </w:rPr>
              <w:t>147.746</w:t>
            </w:r>
          </w:p>
        </w:tc>
        <w:tc>
          <w:tcPr>
            <w:tcW w:w="731"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bottom"/>
          </w:tcPr>
          <w:p w14:paraId="5A7387D9" w14:textId="77777777" w:rsidR="003D05C0" w:rsidRPr="004D17AE" w:rsidRDefault="00501D9D" w:rsidP="00EB7CA2">
            <w:pPr>
              <w:spacing w:line="240" w:lineRule="auto"/>
              <w:jc w:val="right"/>
              <w:rPr>
                <w:sz w:val="18"/>
                <w:szCs w:val="18"/>
              </w:rPr>
            </w:pPr>
            <w:r w:rsidRPr="004D17AE">
              <w:rPr>
                <w:sz w:val="18"/>
                <w:szCs w:val="18"/>
              </w:rPr>
              <w:t>81</w:t>
            </w:r>
          </w:p>
        </w:tc>
        <w:tc>
          <w:tcPr>
            <w:tcW w:w="731" w:type="dxa"/>
            <w:tcBorders>
              <w:bottom w:val="single" w:sz="8" w:space="0" w:color="000000"/>
              <w:right w:val="single" w:sz="8" w:space="0" w:color="000000"/>
            </w:tcBorders>
            <w:shd w:val="clear" w:color="auto" w:fill="auto"/>
            <w:tcMar>
              <w:top w:w="0" w:type="dxa"/>
              <w:left w:w="70" w:type="dxa"/>
              <w:bottom w:w="0" w:type="dxa"/>
              <w:right w:w="70" w:type="dxa"/>
            </w:tcMar>
            <w:vAlign w:val="bottom"/>
          </w:tcPr>
          <w:p w14:paraId="1D2F6EB2" w14:textId="77777777" w:rsidR="003D05C0" w:rsidRPr="004D17AE" w:rsidRDefault="00501D9D" w:rsidP="00B824C0">
            <w:pPr>
              <w:spacing w:line="240" w:lineRule="auto"/>
              <w:jc w:val="right"/>
              <w:rPr>
                <w:sz w:val="18"/>
                <w:szCs w:val="18"/>
              </w:rPr>
            </w:pPr>
            <w:r w:rsidRPr="004D17AE">
              <w:rPr>
                <w:sz w:val="18"/>
                <w:szCs w:val="18"/>
              </w:rPr>
              <w:t>34.701</w:t>
            </w:r>
          </w:p>
        </w:tc>
        <w:tc>
          <w:tcPr>
            <w:tcW w:w="731" w:type="dxa"/>
            <w:tcBorders>
              <w:bottom w:val="single" w:sz="8" w:space="0" w:color="000000"/>
              <w:right w:val="single" w:sz="8" w:space="0" w:color="000000"/>
            </w:tcBorders>
            <w:shd w:val="clear" w:color="auto" w:fill="auto"/>
            <w:tcMar>
              <w:top w:w="0" w:type="dxa"/>
              <w:left w:w="70" w:type="dxa"/>
              <w:bottom w:w="0" w:type="dxa"/>
              <w:right w:w="70" w:type="dxa"/>
            </w:tcMar>
            <w:vAlign w:val="bottom"/>
          </w:tcPr>
          <w:p w14:paraId="3FB6547E" w14:textId="77777777" w:rsidR="003D05C0" w:rsidRPr="004D17AE" w:rsidRDefault="003D05C0" w:rsidP="00B824C0">
            <w:pPr>
              <w:spacing w:line="240" w:lineRule="auto"/>
              <w:jc w:val="right"/>
              <w:rPr>
                <w:sz w:val="18"/>
                <w:szCs w:val="18"/>
              </w:rPr>
            </w:pPr>
            <w:r w:rsidRPr="004D17AE">
              <w:rPr>
                <w:sz w:val="18"/>
                <w:szCs w:val="18"/>
              </w:rPr>
              <w:t>583</w:t>
            </w:r>
          </w:p>
        </w:tc>
        <w:tc>
          <w:tcPr>
            <w:tcW w:w="731" w:type="dxa"/>
            <w:tcBorders>
              <w:bottom w:val="single" w:sz="8" w:space="0" w:color="000000"/>
              <w:right w:val="single" w:sz="8" w:space="0" w:color="000000"/>
            </w:tcBorders>
            <w:shd w:val="clear" w:color="auto" w:fill="auto"/>
            <w:tcMar>
              <w:top w:w="0" w:type="dxa"/>
              <w:left w:w="70" w:type="dxa"/>
              <w:bottom w:w="0" w:type="dxa"/>
              <w:right w:w="70" w:type="dxa"/>
            </w:tcMar>
            <w:vAlign w:val="bottom"/>
          </w:tcPr>
          <w:p w14:paraId="50D43798" w14:textId="77777777" w:rsidR="003D05C0" w:rsidRPr="004D17AE" w:rsidRDefault="00771148" w:rsidP="00B824C0">
            <w:pPr>
              <w:spacing w:line="240" w:lineRule="auto"/>
              <w:jc w:val="right"/>
              <w:rPr>
                <w:sz w:val="18"/>
                <w:szCs w:val="18"/>
              </w:rPr>
            </w:pPr>
            <w:r w:rsidRPr="004D17AE">
              <w:rPr>
                <w:sz w:val="18"/>
                <w:szCs w:val="18"/>
              </w:rPr>
              <w:t>18.514</w:t>
            </w:r>
          </w:p>
        </w:tc>
      </w:tr>
      <w:tr w:rsidR="00162E69" w:rsidRPr="004D17AE" w14:paraId="1F3E979E" w14:textId="77777777" w:rsidTr="004D17AE">
        <w:trPr>
          <w:trHeight w:val="127"/>
        </w:trPr>
        <w:tc>
          <w:tcPr>
            <w:tcW w:w="1485"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6F2625D7" w14:textId="77777777" w:rsidR="003D05C0" w:rsidRPr="004D17AE" w:rsidRDefault="003D05C0" w:rsidP="00B824C0">
            <w:pPr>
              <w:spacing w:line="240" w:lineRule="auto"/>
              <w:rPr>
                <w:bCs/>
                <w:sz w:val="18"/>
                <w:szCs w:val="18"/>
                <w:lang w:val="en-GB"/>
              </w:rPr>
            </w:pPr>
            <w:r w:rsidRPr="004D17AE">
              <w:rPr>
                <w:bCs/>
                <w:sz w:val="18"/>
                <w:szCs w:val="18"/>
                <w:lang w:val="en-GB"/>
              </w:rPr>
              <w:t>Musinet Engineering Spa</w:t>
            </w:r>
          </w:p>
        </w:tc>
        <w:tc>
          <w:tcPr>
            <w:tcW w:w="731"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25869C1F" w14:textId="77777777" w:rsidR="003D05C0" w:rsidRPr="004D17AE" w:rsidRDefault="00771148" w:rsidP="00B824C0">
            <w:pPr>
              <w:spacing w:line="240" w:lineRule="auto"/>
              <w:jc w:val="right"/>
              <w:rPr>
                <w:sz w:val="18"/>
                <w:szCs w:val="18"/>
                <w:lang w:val="en-GB"/>
              </w:rPr>
            </w:pPr>
            <w:r w:rsidRPr="004D17AE">
              <w:rPr>
                <w:sz w:val="18"/>
                <w:szCs w:val="18"/>
                <w:lang w:val="en-GB"/>
              </w:rPr>
              <w:t>942</w:t>
            </w:r>
          </w:p>
        </w:tc>
        <w:tc>
          <w:tcPr>
            <w:tcW w:w="731"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38202435" w14:textId="77777777" w:rsidR="003D05C0" w:rsidRPr="004D17AE" w:rsidRDefault="00771148" w:rsidP="00B824C0">
            <w:pPr>
              <w:spacing w:line="240" w:lineRule="auto"/>
              <w:jc w:val="right"/>
              <w:rPr>
                <w:sz w:val="18"/>
                <w:szCs w:val="18"/>
                <w:lang w:val="en-GB"/>
              </w:rPr>
            </w:pPr>
            <w:r w:rsidRPr="004D17AE">
              <w:rPr>
                <w:sz w:val="18"/>
                <w:szCs w:val="18"/>
                <w:lang w:val="en-GB"/>
              </w:rPr>
              <w:t>14</w:t>
            </w:r>
          </w:p>
        </w:tc>
        <w:tc>
          <w:tcPr>
            <w:tcW w:w="731"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bottom"/>
          </w:tcPr>
          <w:p w14:paraId="4419E204" w14:textId="77777777" w:rsidR="003D05C0" w:rsidRPr="004D17AE" w:rsidRDefault="003D05C0" w:rsidP="00B824C0">
            <w:pPr>
              <w:spacing w:line="240" w:lineRule="auto"/>
              <w:jc w:val="right"/>
              <w:rPr>
                <w:sz w:val="18"/>
                <w:szCs w:val="18"/>
                <w:lang w:val="en-GB"/>
              </w:rPr>
            </w:pPr>
          </w:p>
        </w:tc>
        <w:tc>
          <w:tcPr>
            <w:tcW w:w="731" w:type="dxa"/>
            <w:tcBorders>
              <w:bottom w:val="single" w:sz="8" w:space="0" w:color="000000"/>
              <w:right w:val="single" w:sz="8" w:space="0" w:color="000000"/>
            </w:tcBorders>
            <w:vAlign w:val="bottom"/>
          </w:tcPr>
          <w:p w14:paraId="30008859" w14:textId="77777777" w:rsidR="003D05C0" w:rsidRPr="004D17AE" w:rsidRDefault="003D05C0" w:rsidP="00B824C0">
            <w:pPr>
              <w:spacing w:line="240" w:lineRule="auto"/>
              <w:jc w:val="right"/>
              <w:rPr>
                <w:sz w:val="18"/>
                <w:szCs w:val="18"/>
                <w:lang w:val="en-GB"/>
              </w:rPr>
            </w:pPr>
          </w:p>
        </w:tc>
        <w:tc>
          <w:tcPr>
            <w:tcW w:w="731"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bottom"/>
          </w:tcPr>
          <w:p w14:paraId="1F7B9075" w14:textId="77777777" w:rsidR="003D05C0" w:rsidRPr="004D17AE" w:rsidRDefault="00771148" w:rsidP="00B824C0">
            <w:pPr>
              <w:spacing w:line="240" w:lineRule="auto"/>
              <w:jc w:val="right"/>
              <w:rPr>
                <w:sz w:val="18"/>
                <w:szCs w:val="18"/>
                <w:lang w:val="en-GB"/>
              </w:rPr>
            </w:pPr>
            <w:r w:rsidRPr="004D17AE">
              <w:rPr>
                <w:sz w:val="18"/>
                <w:szCs w:val="18"/>
                <w:lang w:val="en-GB"/>
              </w:rPr>
              <w:t>5</w:t>
            </w:r>
          </w:p>
        </w:tc>
        <w:tc>
          <w:tcPr>
            <w:tcW w:w="731" w:type="dxa"/>
            <w:tcBorders>
              <w:bottom w:val="single" w:sz="8" w:space="0" w:color="000000"/>
              <w:right w:val="single" w:sz="8" w:space="0" w:color="000000"/>
            </w:tcBorders>
            <w:shd w:val="clear" w:color="auto" w:fill="auto"/>
            <w:tcMar>
              <w:top w:w="0" w:type="dxa"/>
              <w:left w:w="70" w:type="dxa"/>
              <w:bottom w:w="0" w:type="dxa"/>
              <w:right w:w="70" w:type="dxa"/>
            </w:tcMar>
            <w:vAlign w:val="bottom"/>
          </w:tcPr>
          <w:p w14:paraId="62618EFA" w14:textId="77777777" w:rsidR="003D05C0" w:rsidRPr="004D17AE" w:rsidRDefault="00771148" w:rsidP="000E3094">
            <w:pPr>
              <w:spacing w:line="240" w:lineRule="auto"/>
              <w:jc w:val="right"/>
              <w:rPr>
                <w:sz w:val="18"/>
                <w:szCs w:val="18"/>
                <w:lang w:val="en-GB"/>
              </w:rPr>
            </w:pPr>
            <w:r w:rsidRPr="004D17AE">
              <w:rPr>
                <w:sz w:val="18"/>
                <w:szCs w:val="18"/>
                <w:lang w:val="en-GB"/>
              </w:rPr>
              <w:t>424</w:t>
            </w:r>
          </w:p>
        </w:tc>
        <w:tc>
          <w:tcPr>
            <w:tcW w:w="731" w:type="dxa"/>
            <w:tcBorders>
              <w:bottom w:val="single" w:sz="8" w:space="0" w:color="000000"/>
              <w:right w:val="single" w:sz="8" w:space="0" w:color="000000"/>
            </w:tcBorders>
            <w:shd w:val="clear" w:color="auto" w:fill="auto"/>
            <w:tcMar>
              <w:top w:w="0" w:type="dxa"/>
              <w:left w:w="70" w:type="dxa"/>
              <w:bottom w:w="0" w:type="dxa"/>
              <w:right w:w="70" w:type="dxa"/>
            </w:tcMar>
            <w:vAlign w:val="bottom"/>
          </w:tcPr>
          <w:p w14:paraId="53B6E8AE" w14:textId="77777777" w:rsidR="003D05C0" w:rsidRPr="004D17AE" w:rsidRDefault="003D05C0" w:rsidP="00B824C0">
            <w:pPr>
              <w:spacing w:line="240" w:lineRule="auto"/>
              <w:jc w:val="right"/>
              <w:rPr>
                <w:sz w:val="18"/>
                <w:szCs w:val="18"/>
              </w:rPr>
            </w:pPr>
          </w:p>
        </w:tc>
        <w:tc>
          <w:tcPr>
            <w:tcW w:w="731" w:type="dxa"/>
            <w:tcBorders>
              <w:bottom w:val="single" w:sz="8" w:space="0" w:color="000000"/>
              <w:right w:val="single" w:sz="8" w:space="0" w:color="000000"/>
            </w:tcBorders>
            <w:shd w:val="clear" w:color="auto" w:fill="auto"/>
            <w:tcMar>
              <w:top w:w="0" w:type="dxa"/>
              <w:left w:w="70" w:type="dxa"/>
              <w:bottom w:w="0" w:type="dxa"/>
              <w:right w:w="70" w:type="dxa"/>
            </w:tcMar>
            <w:vAlign w:val="bottom"/>
          </w:tcPr>
          <w:p w14:paraId="2B094F94" w14:textId="77777777" w:rsidR="003D05C0" w:rsidRPr="004D17AE" w:rsidRDefault="003D05C0" w:rsidP="00B824C0">
            <w:pPr>
              <w:spacing w:line="240" w:lineRule="auto"/>
              <w:jc w:val="right"/>
              <w:rPr>
                <w:sz w:val="18"/>
                <w:szCs w:val="18"/>
              </w:rPr>
            </w:pPr>
          </w:p>
        </w:tc>
      </w:tr>
      <w:tr w:rsidR="00162E69" w:rsidRPr="004D17AE" w14:paraId="450A2E1A" w14:textId="77777777" w:rsidTr="004D17AE">
        <w:trPr>
          <w:trHeight w:val="172"/>
        </w:trPr>
        <w:tc>
          <w:tcPr>
            <w:tcW w:w="1485"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3F4B3A60" w14:textId="77777777" w:rsidR="003D05C0" w:rsidRPr="004D17AE" w:rsidRDefault="003D05C0" w:rsidP="00B824C0">
            <w:pPr>
              <w:spacing w:line="240" w:lineRule="auto"/>
              <w:rPr>
                <w:bCs/>
                <w:sz w:val="18"/>
                <w:szCs w:val="18"/>
                <w:lang w:val="en-GB"/>
              </w:rPr>
            </w:pPr>
            <w:r w:rsidRPr="004D17AE">
              <w:rPr>
                <w:bCs/>
                <w:sz w:val="18"/>
                <w:szCs w:val="18"/>
                <w:lang w:val="en-GB"/>
              </w:rPr>
              <w:t>Tecnositaf Spa</w:t>
            </w:r>
          </w:p>
        </w:tc>
        <w:tc>
          <w:tcPr>
            <w:tcW w:w="731"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440B54A2" w14:textId="77777777" w:rsidR="003D05C0" w:rsidRPr="004D17AE" w:rsidRDefault="00771148" w:rsidP="00B824C0">
            <w:pPr>
              <w:spacing w:line="240" w:lineRule="auto"/>
              <w:jc w:val="right"/>
              <w:rPr>
                <w:sz w:val="18"/>
                <w:szCs w:val="18"/>
                <w:lang w:val="en-GB"/>
              </w:rPr>
            </w:pPr>
            <w:r w:rsidRPr="004D17AE">
              <w:rPr>
                <w:sz w:val="18"/>
                <w:szCs w:val="18"/>
                <w:lang w:val="en-GB"/>
              </w:rPr>
              <w:t>65</w:t>
            </w:r>
          </w:p>
        </w:tc>
        <w:tc>
          <w:tcPr>
            <w:tcW w:w="731"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01BAA9F1" w14:textId="77777777" w:rsidR="003D05C0" w:rsidRPr="004D17AE" w:rsidRDefault="00771148" w:rsidP="00B824C0">
            <w:pPr>
              <w:spacing w:line="240" w:lineRule="auto"/>
              <w:jc w:val="right"/>
              <w:rPr>
                <w:sz w:val="18"/>
                <w:szCs w:val="18"/>
                <w:lang w:val="en-GB"/>
              </w:rPr>
            </w:pPr>
            <w:r w:rsidRPr="004D17AE">
              <w:rPr>
                <w:sz w:val="18"/>
                <w:szCs w:val="18"/>
                <w:lang w:val="en-GB"/>
              </w:rPr>
              <w:t>20</w:t>
            </w:r>
          </w:p>
        </w:tc>
        <w:tc>
          <w:tcPr>
            <w:tcW w:w="731"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bottom"/>
          </w:tcPr>
          <w:p w14:paraId="711622EB" w14:textId="77777777" w:rsidR="003D05C0" w:rsidRPr="004D17AE" w:rsidRDefault="003D05C0" w:rsidP="00B824C0">
            <w:pPr>
              <w:spacing w:line="240" w:lineRule="auto"/>
              <w:jc w:val="right"/>
              <w:rPr>
                <w:sz w:val="18"/>
                <w:szCs w:val="18"/>
                <w:lang w:val="en-GB"/>
              </w:rPr>
            </w:pPr>
          </w:p>
        </w:tc>
        <w:tc>
          <w:tcPr>
            <w:tcW w:w="731" w:type="dxa"/>
            <w:tcBorders>
              <w:bottom w:val="single" w:sz="8" w:space="0" w:color="000000"/>
              <w:right w:val="single" w:sz="8" w:space="0" w:color="000000"/>
            </w:tcBorders>
            <w:vAlign w:val="bottom"/>
          </w:tcPr>
          <w:p w14:paraId="79467D31" w14:textId="77777777" w:rsidR="003D05C0" w:rsidRPr="004D17AE" w:rsidRDefault="003D05C0" w:rsidP="00B824C0">
            <w:pPr>
              <w:spacing w:line="240" w:lineRule="auto"/>
              <w:jc w:val="right"/>
              <w:rPr>
                <w:sz w:val="18"/>
                <w:szCs w:val="18"/>
                <w:lang w:val="en-GB"/>
              </w:rPr>
            </w:pPr>
          </w:p>
        </w:tc>
        <w:tc>
          <w:tcPr>
            <w:tcW w:w="731"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bottom"/>
          </w:tcPr>
          <w:p w14:paraId="203DC042" w14:textId="77777777" w:rsidR="003D05C0" w:rsidRPr="004D17AE" w:rsidRDefault="00771148" w:rsidP="00B824C0">
            <w:pPr>
              <w:spacing w:line="240" w:lineRule="auto"/>
              <w:jc w:val="right"/>
              <w:rPr>
                <w:sz w:val="18"/>
                <w:szCs w:val="18"/>
                <w:lang w:val="en-GB"/>
              </w:rPr>
            </w:pPr>
            <w:r w:rsidRPr="004D17AE">
              <w:rPr>
                <w:sz w:val="18"/>
                <w:szCs w:val="18"/>
                <w:lang w:val="en-GB"/>
              </w:rPr>
              <w:t>13</w:t>
            </w:r>
          </w:p>
        </w:tc>
        <w:tc>
          <w:tcPr>
            <w:tcW w:w="731" w:type="dxa"/>
            <w:tcBorders>
              <w:bottom w:val="single" w:sz="8" w:space="0" w:color="000000"/>
              <w:right w:val="single" w:sz="8" w:space="0" w:color="000000"/>
            </w:tcBorders>
            <w:shd w:val="clear" w:color="auto" w:fill="auto"/>
            <w:tcMar>
              <w:top w:w="0" w:type="dxa"/>
              <w:left w:w="70" w:type="dxa"/>
              <w:bottom w:w="0" w:type="dxa"/>
              <w:right w:w="70" w:type="dxa"/>
            </w:tcMar>
            <w:vAlign w:val="bottom"/>
          </w:tcPr>
          <w:p w14:paraId="7C055666" w14:textId="77777777" w:rsidR="003D05C0" w:rsidRPr="004D17AE" w:rsidRDefault="00771148" w:rsidP="000E3094">
            <w:pPr>
              <w:spacing w:line="240" w:lineRule="auto"/>
              <w:jc w:val="right"/>
              <w:rPr>
                <w:sz w:val="18"/>
                <w:szCs w:val="18"/>
                <w:lang w:val="en-GB"/>
              </w:rPr>
            </w:pPr>
            <w:r w:rsidRPr="004D17AE">
              <w:rPr>
                <w:sz w:val="18"/>
                <w:szCs w:val="18"/>
                <w:lang w:val="en-GB"/>
              </w:rPr>
              <w:t>12</w:t>
            </w:r>
          </w:p>
        </w:tc>
        <w:tc>
          <w:tcPr>
            <w:tcW w:w="731" w:type="dxa"/>
            <w:tcBorders>
              <w:bottom w:val="single" w:sz="8" w:space="0" w:color="000000"/>
              <w:right w:val="single" w:sz="8" w:space="0" w:color="000000"/>
            </w:tcBorders>
            <w:shd w:val="clear" w:color="auto" w:fill="auto"/>
            <w:tcMar>
              <w:top w:w="0" w:type="dxa"/>
              <w:left w:w="70" w:type="dxa"/>
              <w:bottom w:w="0" w:type="dxa"/>
              <w:right w:w="70" w:type="dxa"/>
            </w:tcMar>
            <w:vAlign w:val="bottom"/>
          </w:tcPr>
          <w:p w14:paraId="73D0909F" w14:textId="77777777" w:rsidR="003D05C0" w:rsidRPr="004D17AE" w:rsidRDefault="003D05C0" w:rsidP="00B824C0">
            <w:pPr>
              <w:spacing w:line="240" w:lineRule="auto"/>
              <w:jc w:val="right"/>
              <w:rPr>
                <w:sz w:val="18"/>
                <w:szCs w:val="18"/>
              </w:rPr>
            </w:pPr>
          </w:p>
        </w:tc>
        <w:tc>
          <w:tcPr>
            <w:tcW w:w="731" w:type="dxa"/>
            <w:tcBorders>
              <w:bottom w:val="single" w:sz="8" w:space="0" w:color="000000"/>
              <w:right w:val="single" w:sz="8" w:space="0" w:color="000000"/>
            </w:tcBorders>
            <w:shd w:val="clear" w:color="auto" w:fill="auto"/>
            <w:tcMar>
              <w:top w:w="0" w:type="dxa"/>
              <w:left w:w="70" w:type="dxa"/>
              <w:bottom w:w="0" w:type="dxa"/>
              <w:right w:w="70" w:type="dxa"/>
            </w:tcMar>
            <w:vAlign w:val="bottom"/>
          </w:tcPr>
          <w:p w14:paraId="2349107C" w14:textId="77777777" w:rsidR="003D05C0" w:rsidRPr="004D17AE" w:rsidRDefault="003D05C0" w:rsidP="00B824C0">
            <w:pPr>
              <w:spacing w:line="240" w:lineRule="auto"/>
              <w:jc w:val="right"/>
              <w:rPr>
                <w:sz w:val="18"/>
                <w:szCs w:val="18"/>
              </w:rPr>
            </w:pPr>
          </w:p>
        </w:tc>
      </w:tr>
      <w:tr w:rsidR="00162E69" w:rsidRPr="004D17AE" w14:paraId="3662AD91" w14:textId="77777777" w:rsidTr="004D17AE">
        <w:trPr>
          <w:trHeight w:val="77"/>
        </w:trPr>
        <w:tc>
          <w:tcPr>
            <w:tcW w:w="1485"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3297791B" w14:textId="77777777" w:rsidR="003D05C0" w:rsidRPr="004D17AE" w:rsidRDefault="003D05C0" w:rsidP="00B824C0">
            <w:pPr>
              <w:spacing w:line="240" w:lineRule="auto"/>
              <w:rPr>
                <w:bCs/>
                <w:sz w:val="18"/>
                <w:szCs w:val="18"/>
                <w:lang w:val="en-US"/>
              </w:rPr>
            </w:pPr>
            <w:r w:rsidRPr="004D17AE">
              <w:rPr>
                <w:bCs/>
                <w:sz w:val="18"/>
                <w:szCs w:val="18"/>
                <w:lang w:val="en-GB"/>
              </w:rPr>
              <w:t xml:space="preserve">OK-gol </w:t>
            </w:r>
            <w:r w:rsidR="00FD50BD" w:rsidRPr="004D17AE">
              <w:rPr>
                <w:bCs/>
                <w:sz w:val="18"/>
                <w:szCs w:val="18"/>
                <w:lang w:val="en-GB"/>
              </w:rPr>
              <w:t>Srl</w:t>
            </w:r>
          </w:p>
        </w:tc>
        <w:tc>
          <w:tcPr>
            <w:tcW w:w="731"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780DDC98" w14:textId="77777777" w:rsidR="003D05C0" w:rsidRPr="004D17AE" w:rsidRDefault="00771148" w:rsidP="00B824C0">
            <w:pPr>
              <w:spacing w:line="240" w:lineRule="auto"/>
              <w:jc w:val="right"/>
              <w:rPr>
                <w:sz w:val="18"/>
                <w:szCs w:val="18"/>
                <w:lang w:val="en-GB"/>
              </w:rPr>
            </w:pPr>
            <w:r w:rsidRPr="004D17AE">
              <w:rPr>
                <w:sz w:val="18"/>
                <w:szCs w:val="18"/>
                <w:lang w:val="en-GB"/>
              </w:rPr>
              <w:t>100</w:t>
            </w:r>
          </w:p>
        </w:tc>
        <w:tc>
          <w:tcPr>
            <w:tcW w:w="731"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46D4A09D" w14:textId="77777777" w:rsidR="003D05C0" w:rsidRPr="004D17AE" w:rsidRDefault="00771148" w:rsidP="00B824C0">
            <w:pPr>
              <w:spacing w:line="240" w:lineRule="auto"/>
              <w:jc w:val="right"/>
              <w:rPr>
                <w:sz w:val="18"/>
                <w:szCs w:val="18"/>
                <w:lang w:val="en-GB"/>
              </w:rPr>
            </w:pPr>
            <w:r w:rsidRPr="004D17AE">
              <w:rPr>
                <w:sz w:val="18"/>
                <w:szCs w:val="18"/>
                <w:lang w:val="en-GB"/>
              </w:rPr>
              <w:t>262</w:t>
            </w:r>
          </w:p>
        </w:tc>
        <w:tc>
          <w:tcPr>
            <w:tcW w:w="731"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bottom"/>
          </w:tcPr>
          <w:p w14:paraId="6622885D" w14:textId="77777777" w:rsidR="003D05C0" w:rsidRPr="004D17AE" w:rsidRDefault="003D05C0" w:rsidP="00B824C0">
            <w:pPr>
              <w:spacing w:line="240" w:lineRule="auto"/>
              <w:jc w:val="right"/>
              <w:rPr>
                <w:sz w:val="18"/>
                <w:szCs w:val="18"/>
                <w:lang w:val="en-GB"/>
              </w:rPr>
            </w:pPr>
          </w:p>
        </w:tc>
        <w:tc>
          <w:tcPr>
            <w:tcW w:w="731" w:type="dxa"/>
            <w:tcBorders>
              <w:bottom w:val="single" w:sz="8" w:space="0" w:color="000000"/>
              <w:right w:val="single" w:sz="8" w:space="0" w:color="000000"/>
            </w:tcBorders>
            <w:vAlign w:val="bottom"/>
          </w:tcPr>
          <w:p w14:paraId="55D6561D" w14:textId="77777777" w:rsidR="003D05C0" w:rsidRPr="004D17AE" w:rsidRDefault="003D05C0" w:rsidP="000E3094">
            <w:pPr>
              <w:spacing w:line="240" w:lineRule="auto"/>
              <w:jc w:val="right"/>
              <w:rPr>
                <w:sz w:val="18"/>
                <w:szCs w:val="18"/>
                <w:lang w:val="en-GB"/>
              </w:rPr>
            </w:pPr>
          </w:p>
        </w:tc>
        <w:tc>
          <w:tcPr>
            <w:tcW w:w="731"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bottom"/>
          </w:tcPr>
          <w:p w14:paraId="1AB279D1" w14:textId="77777777" w:rsidR="003D05C0" w:rsidRPr="004D17AE" w:rsidRDefault="00771148" w:rsidP="000E3094">
            <w:pPr>
              <w:spacing w:line="240" w:lineRule="auto"/>
              <w:jc w:val="right"/>
              <w:rPr>
                <w:sz w:val="18"/>
                <w:szCs w:val="18"/>
                <w:lang w:val="en-GB"/>
              </w:rPr>
            </w:pPr>
            <w:r w:rsidRPr="004D17AE">
              <w:rPr>
                <w:sz w:val="18"/>
                <w:szCs w:val="18"/>
                <w:lang w:val="en-GB"/>
              </w:rPr>
              <w:t>146</w:t>
            </w:r>
          </w:p>
        </w:tc>
        <w:tc>
          <w:tcPr>
            <w:tcW w:w="731" w:type="dxa"/>
            <w:tcBorders>
              <w:bottom w:val="single" w:sz="8" w:space="0" w:color="000000"/>
              <w:right w:val="single" w:sz="8" w:space="0" w:color="000000"/>
            </w:tcBorders>
            <w:shd w:val="clear" w:color="auto" w:fill="auto"/>
            <w:tcMar>
              <w:top w:w="0" w:type="dxa"/>
              <w:left w:w="70" w:type="dxa"/>
              <w:bottom w:w="0" w:type="dxa"/>
              <w:right w:w="70" w:type="dxa"/>
            </w:tcMar>
            <w:vAlign w:val="bottom"/>
          </w:tcPr>
          <w:p w14:paraId="4BF81440" w14:textId="77777777" w:rsidR="003D05C0" w:rsidRPr="004D17AE" w:rsidRDefault="00771148" w:rsidP="000E3094">
            <w:pPr>
              <w:spacing w:line="240" w:lineRule="auto"/>
              <w:jc w:val="right"/>
              <w:rPr>
                <w:sz w:val="18"/>
                <w:szCs w:val="18"/>
                <w:lang w:val="en-GB"/>
              </w:rPr>
            </w:pPr>
            <w:r w:rsidRPr="004D17AE">
              <w:rPr>
                <w:sz w:val="18"/>
                <w:szCs w:val="18"/>
                <w:lang w:val="en-GB"/>
              </w:rPr>
              <w:t>13</w:t>
            </w:r>
          </w:p>
        </w:tc>
        <w:tc>
          <w:tcPr>
            <w:tcW w:w="731" w:type="dxa"/>
            <w:tcBorders>
              <w:bottom w:val="single" w:sz="8" w:space="0" w:color="000000"/>
              <w:right w:val="single" w:sz="8" w:space="0" w:color="000000"/>
            </w:tcBorders>
            <w:shd w:val="clear" w:color="auto" w:fill="auto"/>
            <w:tcMar>
              <w:top w:w="0" w:type="dxa"/>
              <w:left w:w="70" w:type="dxa"/>
              <w:bottom w:w="0" w:type="dxa"/>
              <w:right w:w="70" w:type="dxa"/>
            </w:tcMar>
            <w:vAlign w:val="bottom"/>
          </w:tcPr>
          <w:p w14:paraId="072DC67A" w14:textId="77777777" w:rsidR="003D05C0" w:rsidRPr="004D17AE" w:rsidRDefault="003D05C0" w:rsidP="00B824C0">
            <w:pPr>
              <w:spacing w:line="240" w:lineRule="auto"/>
              <w:jc w:val="right"/>
              <w:rPr>
                <w:sz w:val="18"/>
                <w:szCs w:val="18"/>
              </w:rPr>
            </w:pPr>
          </w:p>
        </w:tc>
        <w:tc>
          <w:tcPr>
            <w:tcW w:w="731" w:type="dxa"/>
            <w:tcBorders>
              <w:bottom w:val="single" w:sz="8" w:space="0" w:color="000000"/>
              <w:right w:val="single" w:sz="8" w:space="0" w:color="000000"/>
            </w:tcBorders>
            <w:shd w:val="clear" w:color="auto" w:fill="auto"/>
            <w:tcMar>
              <w:top w:w="0" w:type="dxa"/>
              <w:left w:w="70" w:type="dxa"/>
              <w:bottom w:w="0" w:type="dxa"/>
              <w:right w:w="70" w:type="dxa"/>
            </w:tcMar>
            <w:vAlign w:val="bottom"/>
          </w:tcPr>
          <w:p w14:paraId="0223E707" w14:textId="77777777" w:rsidR="003D05C0" w:rsidRPr="004D17AE" w:rsidRDefault="003D05C0" w:rsidP="00B824C0">
            <w:pPr>
              <w:spacing w:line="240" w:lineRule="auto"/>
              <w:jc w:val="right"/>
              <w:rPr>
                <w:sz w:val="18"/>
                <w:szCs w:val="18"/>
              </w:rPr>
            </w:pPr>
          </w:p>
        </w:tc>
      </w:tr>
    </w:tbl>
    <w:p w14:paraId="02A96C19" w14:textId="77777777" w:rsidR="00AB23BA" w:rsidRPr="00162E69" w:rsidRDefault="00AB23BA" w:rsidP="002C66D0">
      <w:pPr>
        <w:rPr>
          <w:szCs w:val="24"/>
        </w:rPr>
      </w:pPr>
      <w:r w:rsidRPr="00162E69">
        <w:rPr>
          <w:szCs w:val="24"/>
        </w:rPr>
        <w:t xml:space="preserve">Nel corso dell'esercizio si sono intrattenuti rapporti commerciali anche con alcune società del Gruppo A.S.T.M., che sono rientrati anch’essi nella normale operatività gestionale e gli scambi sono avvenuti alle normali </w:t>
      </w:r>
      <w:r w:rsidRPr="00162E69">
        <w:rPr>
          <w:szCs w:val="24"/>
        </w:rPr>
        <w:lastRenderedPageBreak/>
        <w:t>condizioni di mercato.</w:t>
      </w:r>
    </w:p>
    <w:p w14:paraId="38A4AC16" w14:textId="11C8821D" w:rsidR="00AB23BA" w:rsidRDefault="00AB23BA">
      <w:pPr>
        <w:rPr>
          <w:szCs w:val="24"/>
        </w:rPr>
      </w:pPr>
      <w:r w:rsidRPr="00162E69">
        <w:rPr>
          <w:szCs w:val="24"/>
        </w:rPr>
        <w:t>In particolare si rimanda al prospetto seguente i saldi con tali società (sempre in migliaia di Euro):</w:t>
      </w:r>
    </w:p>
    <w:p w14:paraId="54345A9E" w14:textId="77852F32" w:rsidR="00DF6A75" w:rsidRDefault="00DF6A75">
      <w:pPr>
        <w:rPr>
          <w:szCs w:val="24"/>
        </w:rPr>
      </w:pPr>
    </w:p>
    <w:p w14:paraId="206A99E5" w14:textId="77777777" w:rsidR="009707C4" w:rsidRPr="00162E69" w:rsidRDefault="004D17AE" w:rsidP="004D17AE">
      <w:pPr>
        <w:jc w:val="right"/>
        <w:rPr>
          <w:szCs w:val="24"/>
        </w:rPr>
      </w:pPr>
      <w:r w:rsidRPr="004D17AE">
        <w:rPr>
          <w:szCs w:val="24"/>
        </w:rPr>
        <w:t>(importi in migliaia di euro)</w:t>
      </w:r>
    </w:p>
    <w:tbl>
      <w:tblPr>
        <w:tblW w:w="7434" w:type="dxa"/>
        <w:jc w:val="center"/>
        <w:tblCellMar>
          <w:left w:w="10" w:type="dxa"/>
          <w:right w:w="10" w:type="dxa"/>
        </w:tblCellMar>
        <w:tblLook w:val="0000" w:firstRow="0" w:lastRow="0" w:firstColumn="0" w:lastColumn="0" w:noHBand="0" w:noVBand="0"/>
      </w:tblPr>
      <w:tblGrid>
        <w:gridCol w:w="1299"/>
        <w:gridCol w:w="1130"/>
        <w:gridCol w:w="605"/>
        <w:gridCol w:w="770"/>
        <w:gridCol w:w="735"/>
        <w:gridCol w:w="708"/>
        <w:gridCol w:w="606"/>
        <w:gridCol w:w="800"/>
        <w:gridCol w:w="781"/>
      </w:tblGrid>
      <w:tr w:rsidR="00162E69" w:rsidRPr="004D17AE" w14:paraId="7EC8357F" w14:textId="77777777" w:rsidTr="004D17AE">
        <w:trPr>
          <w:trHeight w:val="898"/>
          <w:jc w:val="center"/>
        </w:trPr>
        <w:tc>
          <w:tcPr>
            <w:tcW w:w="1299" w:type="dxa"/>
            <w:tcBorders>
              <w:top w:val="single" w:sz="8" w:space="0" w:color="000000"/>
              <w:left w:val="single" w:sz="8" w:space="0" w:color="000000"/>
              <w:bottom w:val="single" w:sz="8" w:space="0" w:color="000000"/>
              <w:right w:val="single" w:sz="8" w:space="0" w:color="000000"/>
            </w:tcBorders>
            <w:shd w:val="clear" w:color="auto" w:fill="D0CECE" w:themeFill="background2" w:themeFillShade="E6"/>
            <w:noWrap/>
            <w:tcMar>
              <w:top w:w="0" w:type="dxa"/>
              <w:left w:w="70" w:type="dxa"/>
              <w:bottom w:w="0" w:type="dxa"/>
              <w:right w:w="70" w:type="dxa"/>
            </w:tcMar>
            <w:vAlign w:val="center"/>
          </w:tcPr>
          <w:p w14:paraId="349E9EC3" w14:textId="77777777" w:rsidR="009707C4" w:rsidRPr="004D17AE" w:rsidRDefault="009707C4" w:rsidP="004D17AE">
            <w:pPr>
              <w:spacing w:line="240" w:lineRule="auto"/>
              <w:jc w:val="center"/>
              <w:rPr>
                <w:b/>
                <w:bCs/>
                <w:sz w:val="18"/>
                <w:szCs w:val="18"/>
              </w:rPr>
            </w:pPr>
            <w:r w:rsidRPr="004D17AE">
              <w:rPr>
                <w:b/>
                <w:bCs/>
                <w:sz w:val="18"/>
                <w:szCs w:val="18"/>
              </w:rPr>
              <w:t>società</w:t>
            </w:r>
          </w:p>
        </w:tc>
        <w:tc>
          <w:tcPr>
            <w:tcW w:w="1130" w:type="dxa"/>
            <w:tcBorders>
              <w:top w:val="single" w:sz="8" w:space="0" w:color="000000"/>
              <w:bottom w:val="single" w:sz="8" w:space="0" w:color="000000"/>
              <w:right w:val="single" w:sz="8" w:space="0" w:color="000000"/>
            </w:tcBorders>
            <w:shd w:val="clear" w:color="auto" w:fill="D0CECE" w:themeFill="background2" w:themeFillShade="E6"/>
            <w:noWrap/>
            <w:tcMar>
              <w:top w:w="0" w:type="dxa"/>
              <w:left w:w="70" w:type="dxa"/>
              <w:bottom w:w="0" w:type="dxa"/>
              <w:right w:w="70" w:type="dxa"/>
            </w:tcMar>
            <w:vAlign w:val="center"/>
          </w:tcPr>
          <w:p w14:paraId="443D7E00" w14:textId="77777777" w:rsidR="009707C4" w:rsidRPr="004D17AE" w:rsidRDefault="009707C4" w:rsidP="002D457C">
            <w:pPr>
              <w:spacing w:line="240" w:lineRule="auto"/>
              <w:jc w:val="center"/>
              <w:rPr>
                <w:b/>
                <w:bCs/>
                <w:sz w:val="18"/>
                <w:szCs w:val="18"/>
              </w:rPr>
            </w:pPr>
            <w:r w:rsidRPr="004D17AE">
              <w:rPr>
                <w:b/>
                <w:bCs/>
                <w:sz w:val="18"/>
                <w:szCs w:val="18"/>
              </w:rPr>
              <w:t>crediti</w:t>
            </w:r>
          </w:p>
        </w:tc>
        <w:tc>
          <w:tcPr>
            <w:tcW w:w="605" w:type="dxa"/>
            <w:tcBorders>
              <w:top w:val="single" w:sz="8" w:space="0" w:color="000000"/>
              <w:bottom w:val="single" w:sz="8" w:space="0" w:color="000000"/>
              <w:right w:val="single" w:sz="8" w:space="0" w:color="000000"/>
            </w:tcBorders>
            <w:shd w:val="clear" w:color="auto" w:fill="D0CECE" w:themeFill="background2" w:themeFillShade="E6"/>
            <w:noWrap/>
            <w:tcMar>
              <w:top w:w="0" w:type="dxa"/>
              <w:left w:w="70" w:type="dxa"/>
              <w:bottom w:w="0" w:type="dxa"/>
              <w:right w:w="70" w:type="dxa"/>
            </w:tcMar>
            <w:vAlign w:val="center"/>
          </w:tcPr>
          <w:p w14:paraId="061793B4" w14:textId="77777777" w:rsidR="009707C4" w:rsidRPr="004D17AE" w:rsidRDefault="009707C4" w:rsidP="002D457C">
            <w:pPr>
              <w:spacing w:line="240" w:lineRule="auto"/>
              <w:jc w:val="center"/>
              <w:rPr>
                <w:b/>
                <w:bCs/>
                <w:sz w:val="18"/>
                <w:szCs w:val="18"/>
              </w:rPr>
            </w:pPr>
            <w:r w:rsidRPr="004D17AE">
              <w:rPr>
                <w:b/>
                <w:bCs/>
                <w:sz w:val="18"/>
                <w:szCs w:val="18"/>
              </w:rPr>
              <w:t>debiti</w:t>
            </w:r>
          </w:p>
        </w:tc>
        <w:tc>
          <w:tcPr>
            <w:tcW w:w="973" w:type="dxa"/>
            <w:tcBorders>
              <w:top w:val="single" w:sz="8" w:space="0" w:color="000000"/>
              <w:bottom w:val="single" w:sz="8" w:space="0" w:color="000000"/>
              <w:right w:val="single" w:sz="8" w:space="0" w:color="000000"/>
            </w:tcBorders>
            <w:shd w:val="clear" w:color="auto" w:fill="D0CECE" w:themeFill="background2" w:themeFillShade="E6"/>
            <w:tcMar>
              <w:top w:w="0" w:type="dxa"/>
              <w:left w:w="70" w:type="dxa"/>
              <w:bottom w:w="0" w:type="dxa"/>
              <w:right w:w="70" w:type="dxa"/>
            </w:tcMar>
            <w:vAlign w:val="center"/>
          </w:tcPr>
          <w:p w14:paraId="518A21BA" w14:textId="77777777" w:rsidR="009707C4" w:rsidRPr="004D17AE" w:rsidRDefault="009707C4" w:rsidP="002D457C">
            <w:pPr>
              <w:spacing w:line="240" w:lineRule="auto"/>
              <w:jc w:val="center"/>
              <w:rPr>
                <w:b/>
                <w:bCs/>
                <w:sz w:val="18"/>
                <w:szCs w:val="18"/>
              </w:rPr>
            </w:pPr>
            <w:r w:rsidRPr="004D17AE">
              <w:rPr>
                <w:b/>
                <w:bCs/>
                <w:sz w:val="18"/>
                <w:szCs w:val="18"/>
              </w:rPr>
              <w:t>Lavori in corso</w:t>
            </w:r>
          </w:p>
        </w:tc>
        <w:tc>
          <w:tcPr>
            <w:tcW w:w="906" w:type="dxa"/>
            <w:tcBorders>
              <w:top w:val="single" w:sz="8" w:space="0" w:color="000000"/>
              <w:bottom w:val="single" w:sz="8" w:space="0" w:color="000000"/>
              <w:right w:val="single" w:sz="8" w:space="0" w:color="000000"/>
            </w:tcBorders>
            <w:shd w:val="clear" w:color="auto" w:fill="D0CECE" w:themeFill="background2" w:themeFillShade="E6"/>
            <w:vAlign w:val="center"/>
          </w:tcPr>
          <w:p w14:paraId="3B3CC565" w14:textId="77777777" w:rsidR="009707C4" w:rsidRPr="004D17AE" w:rsidRDefault="009707C4" w:rsidP="002D457C">
            <w:pPr>
              <w:spacing w:line="240" w:lineRule="auto"/>
              <w:jc w:val="center"/>
              <w:rPr>
                <w:b/>
                <w:bCs/>
                <w:sz w:val="18"/>
                <w:szCs w:val="18"/>
              </w:rPr>
            </w:pPr>
            <w:r w:rsidRPr="004D17AE">
              <w:rPr>
                <w:b/>
                <w:bCs/>
                <w:sz w:val="18"/>
                <w:szCs w:val="18"/>
              </w:rPr>
              <w:t xml:space="preserve">Anticipi da cliente </w:t>
            </w:r>
          </w:p>
        </w:tc>
        <w:tc>
          <w:tcPr>
            <w:tcW w:w="708" w:type="dxa"/>
            <w:tcBorders>
              <w:top w:val="single" w:sz="8" w:space="0" w:color="000000"/>
              <w:left w:val="single" w:sz="8" w:space="0" w:color="000000"/>
              <w:bottom w:val="single" w:sz="8" w:space="0" w:color="000000"/>
              <w:right w:val="single" w:sz="8" w:space="0" w:color="000000"/>
            </w:tcBorders>
            <w:shd w:val="clear" w:color="auto" w:fill="D0CECE" w:themeFill="background2" w:themeFillShade="E6"/>
            <w:noWrap/>
            <w:tcMar>
              <w:top w:w="0" w:type="dxa"/>
              <w:left w:w="70" w:type="dxa"/>
              <w:bottom w:w="0" w:type="dxa"/>
              <w:right w:w="70" w:type="dxa"/>
            </w:tcMar>
            <w:vAlign w:val="center"/>
          </w:tcPr>
          <w:p w14:paraId="256D91F4" w14:textId="77777777" w:rsidR="009707C4" w:rsidRPr="004D17AE" w:rsidRDefault="009707C4" w:rsidP="002D457C">
            <w:pPr>
              <w:spacing w:line="240" w:lineRule="auto"/>
              <w:jc w:val="center"/>
              <w:rPr>
                <w:b/>
                <w:bCs/>
                <w:sz w:val="18"/>
                <w:szCs w:val="18"/>
              </w:rPr>
            </w:pPr>
            <w:r w:rsidRPr="004D17AE">
              <w:rPr>
                <w:b/>
                <w:bCs/>
                <w:sz w:val="18"/>
                <w:szCs w:val="18"/>
              </w:rPr>
              <w:t>costi</w:t>
            </w:r>
          </w:p>
        </w:tc>
        <w:tc>
          <w:tcPr>
            <w:tcW w:w="606" w:type="dxa"/>
            <w:tcBorders>
              <w:top w:val="single" w:sz="8" w:space="0" w:color="000000"/>
              <w:bottom w:val="single" w:sz="8" w:space="0" w:color="000000"/>
              <w:right w:val="single" w:sz="8" w:space="0" w:color="000000"/>
            </w:tcBorders>
            <w:shd w:val="clear" w:color="auto" w:fill="D0CECE" w:themeFill="background2" w:themeFillShade="E6"/>
            <w:noWrap/>
            <w:tcMar>
              <w:top w:w="0" w:type="dxa"/>
              <w:left w:w="70" w:type="dxa"/>
              <w:bottom w:w="0" w:type="dxa"/>
              <w:right w:w="70" w:type="dxa"/>
            </w:tcMar>
            <w:vAlign w:val="center"/>
          </w:tcPr>
          <w:p w14:paraId="77850472" w14:textId="77777777" w:rsidR="009707C4" w:rsidRPr="004D17AE" w:rsidRDefault="009707C4" w:rsidP="002D457C">
            <w:pPr>
              <w:spacing w:line="240" w:lineRule="auto"/>
              <w:jc w:val="center"/>
              <w:rPr>
                <w:b/>
                <w:bCs/>
                <w:sz w:val="18"/>
                <w:szCs w:val="18"/>
              </w:rPr>
            </w:pPr>
            <w:r w:rsidRPr="004D17AE">
              <w:rPr>
                <w:b/>
                <w:bCs/>
                <w:sz w:val="18"/>
                <w:szCs w:val="18"/>
              </w:rPr>
              <w:t>ricavi</w:t>
            </w:r>
          </w:p>
        </w:tc>
        <w:tc>
          <w:tcPr>
            <w:tcW w:w="426" w:type="dxa"/>
            <w:tcBorders>
              <w:top w:val="single" w:sz="8" w:space="0" w:color="000000"/>
              <w:bottom w:val="single" w:sz="8" w:space="0" w:color="000000"/>
              <w:right w:val="single" w:sz="8" w:space="0" w:color="000000"/>
            </w:tcBorders>
            <w:shd w:val="clear" w:color="auto" w:fill="D0CECE" w:themeFill="background2" w:themeFillShade="E6"/>
            <w:noWrap/>
            <w:tcMar>
              <w:top w:w="0" w:type="dxa"/>
              <w:left w:w="70" w:type="dxa"/>
              <w:bottom w:w="0" w:type="dxa"/>
              <w:right w:w="70" w:type="dxa"/>
            </w:tcMar>
            <w:vAlign w:val="center"/>
          </w:tcPr>
          <w:p w14:paraId="45087C34" w14:textId="77777777" w:rsidR="009707C4" w:rsidRPr="004D17AE" w:rsidRDefault="009707C4" w:rsidP="002D457C">
            <w:pPr>
              <w:spacing w:line="240" w:lineRule="auto"/>
              <w:jc w:val="center"/>
              <w:rPr>
                <w:b/>
                <w:bCs/>
                <w:sz w:val="18"/>
                <w:szCs w:val="18"/>
              </w:rPr>
            </w:pPr>
            <w:r w:rsidRPr="004D17AE">
              <w:rPr>
                <w:b/>
                <w:bCs/>
                <w:sz w:val="18"/>
                <w:szCs w:val="18"/>
              </w:rPr>
              <w:t>garanzie</w:t>
            </w:r>
          </w:p>
        </w:tc>
        <w:tc>
          <w:tcPr>
            <w:tcW w:w="781" w:type="dxa"/>
            <w:tcBorders>
              <w:top w:val="single" w:sz="8" w:space="0" w:color="000000"/>
              <w:bottom w:val="single" w:sz="8" w:space="0" w:color="000000"/>
              <w:right w:val="single" w:sz="8" w:space="0" w:color="000000"/>
            </w:tcBorders>
            <w:shd w:val="clear" w:color="auto" w:fill="D0CECE" w:themeFill="background2" w:themeFillShade="E6"/>
            <w:noWrap/>
            <w:tcMar>
              <w:top w:w="0" w:type="dxa"/>
              <w:left w:w="70" w:type="dxa"/>
              <w:bottom w:w="0" w:type="dxa"/>
              <w:right w:w="70" w:type="dxa"/>
            </w:tcMar>
            <w:vAlign w:val="center"/>
          </w:tcPr>
          <w:p w14:paraId="7191BB38" w14:textId="77777777" w:rsidR="009707C4" w:rsidRPr="004D17AE" w:rsidRDefault="009707C4" w:rsidP="002D457C">
            <w:pPr>
              <w:spacing w:line="240" w:lineRule="auto"/>
              <w:jc w:val="center"/>
              <w:rPr>
                <w:b/>
                <w:bCs/>
                <w:sz w:val="18"/>
                <w:szCs w:val="18"/>
              </w:rPr>
            </w:pPr>
            <w:r w:rsidRPr="004D17AE">
              <w:rPr>
                <w:b/>
                <w:bCs/>
                <w:sz w:val="18"/>
                <w:szCs w:val="18"/>
              </w:rPr>
              <w:t>Impegni</w:t>
            </w:r>
          </w:p>
        </w:tc>
      </w:tr>
      <w:tr w:rsidR="00162E69" w:rsidRPr="004D17AE" w14:paraId="7447C973" w14:textId="77777777" w:rsidTr="004D17AE">
        <w:trPr>
          <w:trHeight w:val="237"/>
          <w:jc w:val="center"/>
        </w:trPr>
        <w:tc>
          <w:tcPr>
            <w:tcW w:w="1299"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61B9478A" w14:textId="77777777" w:rsidR="009707C4" w:rsidRPr="004D17AE" w:rsidRDefault="009707C4" w:rsidP="002D457C">
            <w:pPr>
              <w:spacing w:line="240" w:lineRule="auto"/>
              <w:rPr>
                <w:bCs/>
                <w:sz w:val="18"/>
                <w:szCs w:val="18"/>
              </w:rPr>
            </w:pPr>
            <w:r w:rsidRPr="004D17AE">
              <w:rPr>
                <w:bCs/>
                <w:sz w:val="18"/>
                <w:szCs w:val="18"/>
              </w:rPr>
              <w:t>Itinera SpA</w:t>
            </w:r>
          </w:p>
        </w:tc>
        <w:tc>
          <w:tcPr>
            <w:tcW w:w="1130"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1BFA6375" w14:textId="77777777" w:rsidR="009707C4" w:rsidRPr="004D17AE" w:rsidRDefault="009707C4" w:rsidP="002D457C">
            <w:pPr>
              <w:spacing w:line="240" w:lineRule="auto"/>
              <w:jc w:val="right"/>
              <w:rPr>
                <w:sz w:val="18"/>
                <w:szCs w:val="18"/>
              </w:rPr>
            </w:pPr>
          </w:p>
        </w:tc>
        <w:tc>
          <w:tcPr>
            <w:tcW w:w="605"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6FC64FAD" w14:textId="77777777" w:rsidR="009707C4" w:rsidRPr="004D17AE" w:rsidRDefault="009707C4" w:rsidP="002D457C">
            <w:pPr>
              <w:spacing w:line="240" w:lineRule="auto"/>
              <w:jc w:val="right"/>
              <w:rPr>
                <w:sz w:val="18"/>
                <w:szCs w:val="18"/>
              </w:rPr>
            </w:pPr>
            <w:r w:rsidRPr="004D17AE">
              <w:rPr>
                <w:sz w:val="18"/>
                <w:szCs w:val="18"/>
              </w:rPr>
              <w:t>138</w:t>
            </w:r>
          </w:p>
        </w:tc>
        <w:tc>
          <w:tcPr>
            <w:tcW w:w="973"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bottom"/>
          </w:tcPr>
          <w:p w14:paraId="25EB8753" w14:textId="77777777" w:rsidR="009707C4" w:rsidRPr="004D17AE" w:rsidRDefault="009707C4" w:rsidP="002D457C">
            <w:pPr>
              <w:spacing w:line="240" w:lineRule="auto"/>
              <w:jc w:val="right"/>
              <w:rPr>
                <w:sz w:val="18"/>
                <w:szCs w:val="18"/>
              </w:rPr>
            </w:pPr>
          </w:p>
        </w:tc>
        <w:tc>
          <w:tcPr>
            <w:tcW w:w="906" w:type="dxa"/>
            <w:tcBorders>
              <w:bottom w:val="single" w:sz="8" w:space="0" w:color="000000"/>
              <w:right w:val="single" w:sz="8" w:space="0" w:color="000000"/>
            </w:tcBorders>
            <w:vAlign w:val="bottom"/>
          </w:tcPr>
          <w:p w14:paraId="57B34F25" w14:textId="77777777" w:rsidR="009707C4" w:rsidRPr="004D17AE" w:rsidRDefault="009707C4" w:rsidP="002D457C">
            <w:pPr>
              <w:spacing w:line="240" w:lineRule="auto"/>
              <w:jc w:val="center"/>
              <w:rPr>
                <w:sz w:val="18"/>
                <w:szCs w:val="18"/>
              </w:rPr>
            </w:pPr>
          </w:p>
        </w:tc>
        <w:tc>
          <w:tcPr>
            <w:tcW w:w="708"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bottom"/>
          </w:tcPr>
          <w:p w14:paraId="14F03009" w14:textId="77777777" w:rsidR="009707C4" w:rsidRPr="004D17AE" w:rsidRDefault="009707C4" w:rsidP="002D457C">
            <w:pPr>
              <w:spacing w:line="240" w:lineRule="auto"/>
              <w:jc w:val="right"/>
              <w:rPr>
                <w:sz w:val="18"/>
                <w:szCs w:val="18"/>
              </w:rPr>
            </w:pPr>
            <w:r w:rsidRPr="004D17AE">
              <w:rPr>
                <w:sz w:val="18"/>
                <w:szCs w:val="18"/>
              </w:rPr>
              <w:t>139</w:t>
            </w:r>
          </w:p>
        </w:tc>
        <w:tc>
          <w:tcPr>
            <w:tcW w:w="606" w:type="dxa"/>
            <w:tcBorders>
              <w:bottom w:val="single" w:sz="8" w:space="0" w:color="000000"/>
              <w:right w:val="single" w:sz="8" w:space="0" w:color="000000"/>
            </w:tcBorders>
            <w:shd w:val="clear" w:color="auto" w:fill="auto"/>
            <w:tcMar>
              <w:top w:w="0" w:type="dxa"/>
              <w:left w:w="70" w:type="dxa"/>
              <w:bottom w:w="0" w:type="dxa"/>
              <w:right w:w="70" w:type="dxa"/>
            </w:tcMar>
            <w:vAlign w:val="bottom"/>
          </w:tcPr>
          <w:p w14:paraId="5D6F8AD5" w14:textId="77777777" w:rsidR="009707C4" w:rsidRPr="004D17AE" w:rsidRDefault="009707C4" w:rsidP="002D457C">
            <w:pPr>
              <w:spacing w:line="240" w:lineRule="auto"/>
              <w:jc w:val="right"/>
              <w:rPr>
                <w:sz w:val="18"/>
                <w:szCs w:val="18"/>
              </w:rPr>
            </w:pPr>
          </w:p>
        </w:tc>
        <w:tc>
          <w:tcPr>
            <w:tcW w:w="426" w:type="dxa"/>
            <w:tcBorders>
              <w:bottom w:val="single" w:sz="8" w:space="0" w:color="000000"/>
              <w:right w:val="single" w:sz="8" w:space="0" w:color="000000"/>
            </w:tcBorders>
            <w:shd w:val="clear" w:color="auto" w:fill="auto"/>
            <w:tcMar>
              <w:top w:w="0" w:type="dxa"/>
              <w:left w:w="70" w:type="dxa"/>
              <w:bottom w:w="0" w:type="dxa"/>
              <w:right w:w="70" w:type="dxa"/>
            </w:tcMar>
            <w:vAlign w:val="bottom"/>
          </w:tcPr>
          <w:p w14:paraId="1B2DE4BF" w14:textId="77777777" w:rsidR="009707C4" w:rsidRPr="004D17AE" w:rsidRDefault="009707C4" w:rsidP="002D457C">
            <w:pPr>
              <w:spacing w:line="240" w:lineRule="auto"/>
              <w:jc w:val="right"/>
              <w:rPr>
                <w:sz w:val="18"/>
                <w:szCs w:val="18"/>
              </w:rPr>
            </w:pPr>
          </w:p>
        </w:tc>
        <w:tc>
          <w:tcPr>
            <w:tcW w:w="781" w:type="dxa"/>
            <w:tcBorders>
              <w:bottom w:val="single" w:sz="8" w:space="0" w:color="000000"/>
              <w:right w:val="single" w:sz="8" w:space="0" w:color="000000"/>
            </w:tcBorders>
            <w:shd w:val="clear" w:color="auto" w:fill="auto"/>
            <w:tcMar>
              <w:top w:w="0" w:type="dxa"/>
              <w:left w:w="70" w:type="dxa"/>
              <w:bottom w:w="0" w:type="dxa"/>
              <w:right w:w="70" w:type="dxa"/>
            </w:tcMar>
            <w:vAlign w:val="bottom"/>
          </w:tcPr>
          <w:p w14:paraId="4AAD4548" w14:textId="77777777" w:rsidR="009707C4" w:rsidRPr="004D17AE" w:rsidRDefault="009707C4" w:rsidP="002D457C">
            <w:pPr>
              <w:spacing w:line="240" w:lineRule="auto"/>
              <w:jc w:val="right"/>
              <w:rPr>
                <w:sz w:val="18"/>
                <w:szCs w:val="18"/>
              </w:rPr>
            </w:pPr>
          </w:p>
        </w:tc>
      </w:tr>
      <w:tr w:rsidR="00162E69" w:rsidRPr="004D17AE" w14:paraId="131291D9" w14:textId="77777777" w:rsidTr="004D17AE">
        <w:trPr>
          <w:trHeight w:val="127"/>
          <w:jc w:val="center"/>
        </w:trPr>
        <w:tc>
          <w:tcPr>
            <w:tcW w:w="1299"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01082902" w14:textId="77777777" w:rsidR="009707C4" w:rsidRPr="004D17AE" w:rsidRDefault="009707C4" w:rsidP="002D457C">
            <w:pPr>
              <w:spacing w:line="240" w:lineRule="auto"/>
              <w:rPr>
                <w:bCs/>
                <w:sz w:val="18"/>
                <w:szCs w:val="18"/>
                <w:lang w:val="en-GB"/>
              </w:rPr>
            </w:pPr>
            <w:r w:rsidRPr="004D17AE">
              <w:rPr>
                <w:bCs/>
                <w:sz w:val="18"/>
                <w:szCs w:val="18"/>
                <w:lang w:val="en-GB"/>
              </w:rPr>
              <w:t>Sea Segnaletica Spa</w:t>
            </w:r>
          </w:p>
        </w:tc>
        <w:tc>
          <w:tcPr>
            <w:tcW w:w="1130"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3119D851" w14:textId="77777777" w:rsidR="009707C4" w:rsidRPr="004D17AE" w:rsidRDefault="009707C4" w:rsidP="002D457C">
            <w:pPr>
              <w:spacing w:line="240" w:lineRule="auto"/>
              <w:jc w:val="right"/>
              <w:rPr>
                <w:sz w:val="18"/>
                <w:szCs w:val="18"/>
                <w:lang w:val="en-GB"/>
              </w:rPr>
            </w:pPr>
          </w:p>
        </w:tc>
        <w:tc>
          <w:tcPr>
            <w:tcW w:w="605"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478C63CF" w14:textId="77777777" w:rsidR="009707C4" w:rsidRPr="004D17AE" w:rsidRDefault="009707C4" w:rsidP="002D457C">
            <w:pPr>
              <w:spacing w:line="240" w:lineRule="auto"/>
              <w:jc w:val="right"/>
              <w:rPr>
                <w:sz w:val="18"/>
                <w:szCs w:val="18"/>
                <w:lang w:val="en-GB"/>
              </w:rPr>
            </w:pPr>
            <w:r w:rsidRPr="004D17AE">
              <w:rPr>
                <w:sz w:val="18"/>
                <w:szCs w:val="18"/>
                <w:lang w:val="en-GB"/>
              </w:rPr>
              <w:t>236</w:t>
            </w:r>
          </w:p>
        </w:tc>
        <w:tc>
          <w:tcPr>
            <w:tcW w:w="973"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bottom"/>
          </w:tcPr>
          <w:p w14:paraId="6FDDCD02" w14:textId="77777777" w:rsidR="009707C4" w:rsidRPr="004D17AE" w:rsidRDefault="009707C4" w:rsidP="002D457C">
            <w:pPr>
              <w:spacing w:line="240" w:lineRule="auto"/>
              <w:jc w:val="right"/>
              <w:rPr>
                <w:sz w:val="18"/>
                <w:szCs w:val="18"/>
                <w:lang w:val="en-GB"/>
              </w:rPr>
            </w:pPr>
          </w:p>
        </w:tc>
        <w:tc>
          <w:tcPr>
            <w:tcW w:w="906" w:type="dxa"/>
            <w:tcBorders>
              <w:bottom w:val="single" w:sz="8" w:space="0" w:color="000000"/>
              <w:right w:val="single" w:sz="8" w:space="0" w:color="000000"/>
            </w:tcBorders>
            <w:vAlign w:val="bottom"/>
          </w:tcPr>
          <w:p w14:paraId="2B0EAEED" w14:textId="77777777" w:rsidR="009707C4" w:rsidRPr="004D17AE" w:rsidRDefault="009707C4" w:rsidP="002D457C">
            <w:pPr>
              <w:spacing w:line="240" w:lineRule="auto"/>
              <w:jc w:val="right"/>
              <w:rPr>
                <w:sz w:val="18"/>
                <w:szCs w:val="18"/>
                <w:lang w:val="en-GB"/>
              </w:rPr>
            </w:pPr>
          </w:p>
        </w:tc>
        <w:tc>
          <w:tcPr>
            <w:tcW w:w="708"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bottom"/>
          </w:tcPr>
          <w:p w14:paraId="6D5994D5" w14:textId="77777777" w:rsidR="009707C4" w:rsidRPr="004D17AE" w:rsidRDefault="009707C4" w:rsidP="002D457C">
            <w:pPr>
              <w:spacing w:line="240" w:lineRule="auto"/>
              <w:jc w:val="right"/>
              <w:rPr>
                <w:sz w:val="18"/>
                <w:szCs w:val="18"/>
                <w:lang w:val="en-GB"/>
              </w:rPr>
            </w:pPr>
            <w:r w:rsidRPr="004D17AE">
              <w:rPr>
                <w:sz w:val="18"/>
                <w:szCs w:val="18"/>
                <w:lang w:val="en-GB"/>
              </w:rPr>
              <w:t>279</w:t>
            </w:r>
          </w:p>
        </w:tc>
        <w:tc>
          <w:tcPr>
            <w:tcW w:w="606" w:type="dxa"/>
            <w:tcBorders>
              <w:bottom w:val="single" w:sz="8" w:space="0" w:color="000000"/>
              <w:right w:val="single" w:sz="8" w:space="0" w:color="000000"/>
            </w:tcBorders>
            <w:shd w:val="clear" w:color="auto" w:fill="auto"/>
            <w:tcMar>
              <w:top w:w="0" w:type="dxa"/>
              <w:left w:w="70" w:type="dxa"/>
              <w:bottom w:w="0" w:type="dxa"/>
              <w:right w:w="70" w:type="dxa"/>
            </w:tcMar>
            <w:vAlign w:val="bottom"/>
          </w:tcPr>
          <w:p w14:paraId="20AFAE4F" w14:textId="77777777" w:rsidR="009707C4" w:rsidRPr="004D17AE" w:rsidRDefault="009707C4" w:rsidP="002D457C">
            <w:pPr>
              <w:spacing w:line="240" w:lineRule="auto"/>
              <w:jc w:val="right"/>
              <w:rPr>
                <w:sz w:val="18"/>
                <w:szCs w:val="18"/>
                <w:lang w:val="en-GB"/>
              </w:rPr>
            </w:pPr>
          </w:p>
        </w:tc>
        <w:tc>
          <w:tcPr>
            <w:tcW w:w="426" w:type="dxa"/>
            <w:tcBorders>
              <w:bottom w:val="single" w:sz="8" w:space="0" w:color="000000"/>
              <w:right w:val="single" w:sz="8" w:space="0" w:color="000000"/>
            </w:tcBorders>
            <w:shd w:val="clear" w:color="auto" w:fill="auto"/>
            <w:tcMar>
              <w:top w:w="0" w:type="dxa"/>
              <w:left w:w="70" w:type="dxa"/>
              <w:bottom w:w="0" w:type="dxa"/>
              <w:right w:w="70" w:type="dxa"/>
            </w:tcMar>
            <w:vAlign w:val="bottom"/>
          </w:tcPr>
          <w:p w14:paraId="0EBEDB27" w14:textId="77777777" w:rsidR="009707C4" w:rsidRPr="004D17AE" w:rsidRDefault="009707C4" w:rsidP="002D457C">
            <w:pPr>
              <w:spacing w:line="240" w:lineRule="auto"/>
              <w:jc w:val="right"/>
              <w:rPr>
                <w:sz w:val="18"/>
                <w:szCs w:val="18"/>
              </w:rPr>
            </w:pPr>
          </w:p>
        </w:tc>
        <w:tc>
          <w:tcPr>
            <w:tcW w:w="781" w:type="dxa"/>
            <w:tcBorders>
              <w:bottom w:val="single" w:sz="8" w:space="0" w:color="000000"/>
              <w:right w:val="single" w:sz="8" w:space="0" w:color="000000"/>
            </w:tcBorders>
            <w:shd w:val="clear" w:color="auto" w:fill="auto"/>
            <w:tcMar>
              <w:top w:w="0" w:type="dxa"/>
              <w:left w:w="70" w:type="dxa"/>
              <w:bottom w:w="0" w:type="dxa"/>
              <w:right w:w="70" w:type="dxa"/>
            </w:tcMar>
            <w:vAlign w:val="bottom"/>
          </w:tcPr>
          <w:p w14:paraId="4AEA2176" w14:textId="77777777" w:rsidR="009707C4" w:rsidRPr="004D17AE" w:rsidRDefault="009707C4" w:rsidP="002D457C">
            <w:pPr>
              <w:spacing w:line="240" w:lineRule="auto"/>
              <w:jc w:val="right"/>
              <w:rPr>
                <w:sz w:val="18"/>
                <w:szCs w:val="18"/>
              </w:rPr>
            </w:pPr>
          </w:p>
        </w:tc>
      </w:tr>
      <w:tr w:rsidR="00162E69" w:rsidRPr="004D17AE" w14:paraId="218386FA" w14:textId="77777777" w:rsidTr="004D17AE">
        <w:trPr>
          <w:trHeight w:val="172"/>
          <w:jc w:val="center"/>
        </w:trPr>
        <w:tc>
          <w:tcPr>
            <w:tcW w:w="1299"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4A71ED7A" w14:textId="77777777" w:rsidR="009707C4" w:rsidRPr="004D17AE" w:rsidRDefault="009707C4" w:rsidP="002D457C">
            <w:pPr>
              <w:spacing w:line="240" w:lineRule="auto"/>
              <w:rPr>
                <w:bCs/>
                <w:sz w:val="18"/>
                <w:szCs w:val="18"/>
                <w:lang w:val="en-GB"/>
              </w:rPr>
            </w:pPr>
            <w:r w:rsidRPr="004D17AE">
              <w:rPr>
                <w:bCs/>
                <w:sz w:val="18"/>
                <w:szCs w:val="18"/>
                <w:lang w:val="en-GB"/>
              </w:rPr>
              <w:t>Tunnel Frejus Scarl</w:t>
            </w:r>
          </w:p>
        </w:tc>
        <w:tc>
          <w:tcPr>
            <w:tcW w:w="1130"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0FB02B47" w14:textId="77777777" w:rsidR="009707C4" w:rsidRPr="004D17AE" w:rsidRDefault="009707C4" w:rsidP="002D457C">
            <w:pPr>
              <w:spacing w:line="240" w:lineRule="auto"/>
              <w:jc w:val="right"/>
              <w:rPr>
                <w:sz w:val="18"/>
                <w:szCs w:val="18"/>
                <w:lang w:val="en-GB"/>
              </w:rPr>
            </w:pPr>
            <w:r w:rsidRPr="004D17AE">
              <w:rPr>
                <w:sz w:val="18"/>
                <w:szCs w:val="18"/>
                <w:lang w:val="en-GB"/>
              </w:rPr>
              <w:t>689</w:t>
            </w:r>
          </w:p>
        </w:tc>
        <w:tc>
          <w:tcPr>
            <w:tcW w:w="605"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747900FB" w14:textId="77777777" w:rsidR="009707C4" w:rsidRPr="004D17AE" w:rsidRDefault="009707C4" w:rsidP="009707C4">
            <w:pPr>
              <w:spacing w:line="240" w:lineRule="auto"/>
              <w:jc w:val="right"/>
              <w:rPr>
                <w:sz w:val="18"/>
                <w:szCs w:val="18"/>
                <w:lang w:val="en-GB"/>
              </w:rPr>
            </w:pPr>
            <w:r w:rsidRPr="004D17AE">
              <w:rPr>
                <w:sz w:val="18"/>
                <w:szCs w:val="18"/>
                <w:lang w:val="en-GB"/>
              </w:rPr>
              <w:t>50</w:t>
            </w:r>
          </w:p>
        </w:tc>
        <w:tc>
          <w:tcPr>
            <w:tcW w:w="973"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bottom"/>
          </w:tcPr>
          <w:p w14:paraId="6127943E" w14:textId="77777777" w:rsidR="009707C4" w:rsidRPr="004D17AE" w:rsidRDefault="009707C4" w:rsidP="002D457C">
            <w:pPr>
              <w:spacing w:line="240" w:lineRule="auto"/>
              <w:jc w:val="right"/>
              <w:rPr>
                <w:sz w:val="18"/>
                <w:szCs w:val="18"/>
                <w:lang w:val="en-GB"/>
              </w:rPr>
            </w:pPr>
          </w:p>
        </w:tc>
        <w:tc>
          <w:tcPr>
            <w:tcW w:w="906" w:type="dxa"/>
            <w:tcBorders>
              <w:bottom w:val="single" w:sz="8" w:space="0" w:color="000000"/>
              <w:right w:val="single" w:sz="8" w:space="0" w:color="000000"/>
            </w:tcBorders>
            <w:vAlign w:val="bottom"/>
          </w:tcPr>
          <w:p w14:paraId="466F007D" w14:textId="77777777" w:rsidR="009707C4" w:rsidRPr="004D17AE" w:rsidRDefault="009707C4" w:rsidP="002D457C">
            <w:pPr>
              <w:spacing w:line="240" w:lineRule="auto"/>
              <w:jc w:val="right"/>
              <w:rPr>
                <w:sz w:val="18"/>
                <w:szCs w:val="18"/>
                <w:lang w:val="en-GB"/>
              </w:rPr>
            </w:pPr>
          </w:p>
        </w:tc>
        <w:tc>
          <w:tcPr>
            <w:tcW w:w="708"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bottom"/>
          </w:tcPr>
          <w:p w14:paraId="2B729FD1" w14:textId="77777777" w:rsidR="009707C4" w:rsidRPr="004D17AE" w:rsidRDefault="009707C4" w:rsidP="009707C4">
            <w:pPr>
              <w:spacing w:line="240" w:lineRule="auto"/>
              <w:jc w:val="right"/>
              <w:rPr>
                <w:sz w:val="18"/>
                <w:szCs w:val="18"/>
                <w:lang w:val="en-GB"/>
              </w:rPr>
            </w:pPr>
            <w:r w:rsidRPr="004D17AE">
              <w:rPr>
                <w:sz w:val="18"/>
                <w:szCs w:val="18"/>
                <w:lang w:val="en-GB"/>
              </w:rPr>
              <w:t>108</w:t>
            </w:r>
          </w:p>
        </w:tc>
        <w:tc>
          <w:tcPr>
            <w:tcW w:w="606" w:type="dxa"/>
            <w:tcBorders>
              <w:bottom w:val="single" w:sz="8" w:space="0" w:color="000000"/>
              <w:right w:val="single" w:sz="8" w:space="0" w:color="000000"/>
            </w:tcBorders>
            <w:shd w:val="clear" w:color="auto" w:fill="auto"/>
            <w:tcMar>
              <w:top w:w="0" w:type="dxa"/>
              <w:left w:w="70" w:type="dxa"/>
              <w:bottom w:w="0" w:type="dxa"/>
              <w:right w:w="70" w:type="dxa"/>
            </w:tcMar>
            <w:vAlign w:val="bottom"/>
          </w:tcPr>
          <w:p w14:paraId="6769D7AF" w14:textId="77777777" w:rsidR="009707C4" w:rsidRPr="004D17AE" w:rsidRDefault="009707C4" w:rsidP="002D457C">
            <w:pPr>
              <w:spacing w:line="240" w:lineRule="auto"/>
              <w:jc w:val="right"/>
              <w:rPr>
                <w:sz w:val="18"/>
                <w:szCs w:val="18"/>
                <w:lang w:val="en-GB"/>
              </w:rPr>
            </w:pPr>
          </w:p>
        </w:tc>
        <w:tc>
          <w:tcPr>
            <w:tcW w:w="426" w:type="dxa"/>
            <w:tcBorders>
              <w:bottom w:val="single" w:sz="8" w:space="0" w:color="000000"/>
              <w:right w:val="single" w:sz="8" w:space="0" w:color="000000"/>
            </w:tcBorders>
            <w:shd w:val="clear" w:color="auto" w:fill="auto"/>
            <w:tcMar>
              <w:top w:w="0" w:type="dxa"/>
              <w:left w:w="70" w:type="dxa"/>
              <w:bottom w:w="0" w:type="dxa"/>
              <w:right w:w="70" w:type="dxa"/>
            </w:tcMar>
            <w:vAlign w:val="bottom"/>
          </w:tcPr>
          <w:p w14:paraId="62844EB5" w14:textId="77777777" w:rsidR="009707C4" w:rsidRPr="004D17AE" w:rsidRDefault="009707C4" w:rsidP="002D457C">
            <w:pPr>
              <w:spacing w:line="240" w:lineRule="auto"/>
              <w:jc w:val="right"/>
              <w:rPr>
                <w:sz w:val="18"/>
                <w:szCs w:val="18"/>
              </w:rPr>
            </w:pPr>
          </w:p>
        </w:tc>
        <w:tc>
          <w:tcPr>
            <w:tcW w:w="781" w:type="dxa"/>
            <w:tcBorders>
              <w:bottom w:val="single" w:sz="8" w:space="0" w:color="000000"/>
              <w:right w:val="single" w:sz="8" w:space="0" w:color="000000"/>
            </w:tcBorders>
            <w:shd w:val="clear" w:color="auto" w:fill="auto"/>
            <w:tcMar>
              <w:top w:w="0" w:type="dxa"/>
              <w:left w:w="70" w:type="dxa"/>
              <w:bottom w:w="0" w:type="dxa"/>
              <w:right w:w="70" w:type="dxa"/>
            </w:tcMar>
            <w:vAlign w:val="bottom"/>
          </w:tcPr>
          <w:p w14:paraId="08CC5272" w14:textId="77777777" w:rsidR="009707C4" w:rsidRPr="004D17AE" w:rsidRDefault="009707C4" w:rsidP="002D457C">
            <w:pPr>
              <w:spacing w:line="240" w:lineRule="auto"/>
              <w:jc w:val="right"/>
              <w:rPr>
                <w:sz w:val="18"/>
                <w:szCs w:val="18"/>
              </w:rPr>
            </w:pPr>
          </w:p>
        </w:tc>
      </w:tr>
      <w:tr w:rsidR="00162E69" w:rsidRPr="004D17AE" w14:paraId="612585BE" w14:textId="77777777" w:rsidTr="004D17AE">
        <w:trPr>
          <w:trHeight w:val="77"/>
          <w:jc w:val="center"/>
        </w:trPr>
        <w:tc>
          <w:tcPr>
            <w:tcW w:w="1299"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4DDDFB10" w14:textId="77777777" w:rsidR="009707C4" w:rsidRPr="004D17AE" w:rsidRDefault="009707C4" w:rsidP="002D457C">
            <w:pPr>
              <w:spacing w:line="240" w:lineRule="auto"/>
              <w:rPr>
                <w:bCs/>
                <w:sz w:val="18"/>
                <w:szCs w:val="18"/>
                <w:lang w:val="en-GB"/>
              </w:rPr>
            </w:pPr>
            <w:r w:rsidRPr="004D17AE">
              <w:rPr>
                <w:bCs/>
                <w:sz w:val="18"/>
                <w:szCs w:val="18"/>
                <w:lang w:val="en-GB"/>
              </w:rPr>
              <w:t>Autosped G Spa</w:t>
            </w:r>
          </w:p>
        </w:tc>
        <w:tc>
          <w:tcPr>
            <w:tcW w:w="1130"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57F57146" w14:textId="77777777" w:rsidR="009707C4" w:rsidRPr="004D17AE" w:rsidRDefault="009707C4" w:rsidP="002D457C">
            <w:pPr>
              <w:spacing w:line="240" w:lineRule="auto"/>
              <w:jc w:val="right"/>
              <w:rPr>
                <w:sz w:val="18"/>
                <w:szCs w:val="18"/>
                <w:lang w:val="en-GB"/>
              </w:rPr>
            </w:pPr>
          </w:p>
        </w:tc>
        <w:tc>
          <w:tcPr>
            <w:tcW w:w="605"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7E0769CF" w14:textId="77777777" w:rsidR="009707C4" w:rsidRPr="004D17AE" w:rsidRDefault="009707C4" w:rsidP="002D457C">
            <w:pPr>
              <w:spacing w:line="240" w:lineRule="auto"/>
              <w:jc w:val="right"/>
              <w:rPr>
                <w:sz w:val="18"/>
                <w:szCs w:val="18"/>
                <w:lang w:val="en-GB"/>
              </w:rPr>
            </w:pPr>
            <w:r w:rsidRPr="004D17AE">
              <w:rPr>
                <w:sz w:val="18"/>
                <w:szCs w:val="18"/>
                <w:lang w:val="en-GB"/>
              </w:rPr>
              <w:t>682</w:t>
            </w:r>
          </w:p>
        </w:tc>
        <w:tc>
          <w:tcPr>
            <w:tcW w:w="973"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bottom"/>
          </w:tcPr>
          <w:p w14:paraId="7D73332A" w14:textId="77777777" w:rsidR="009707C4" w:rsidRPr="004D17AE" w:rsidRDefault="009707C4" w:rsidP="002D457C">
            <w:pPr>
              <w:spacing w:line="240" w:lineRule="auto"/>
              <w:jc w:val="right"/>
              <w:rPr>
                <w:sz w:val="18"/>
                <w:szCs w:val="18"/>
                <w:lang w:val="en-GB"/>
              </w:rPr>
            </w:pPr>
          </w:p>
        </w:tc>
        <w:tc>
          <w:tcPr>
            <w:tcW w:w="906" w:type="dxa"/>
            <w:tcBorders>
              <w:bottom w:val="single" w:sz="8" w:space="0" w:color="000000"/>
              <w:right w:val="single" w:sz="8" w:space="0" w:color="000000"/>
            </w:tcBorders>
            <w:vAlign w:val="bottom"/>
          </w:tcPr>
          <w:p w14:paraId="477ED3F5" w14:textId="77777777" w:rsidR="009707C4" w:rsidRPr="004D17AE" w:rsidRDefault="009707C4" w:rsidP="002D457C">
            <w:pPr>
              <w:spacing w:line="240" w:lineRule="auto"/>
              <w:jc w:val="right"/>
              <w:rPr>
                <w:sz w:val="18"/>
                <w:szCs w:val="18"/>
                <w:lang w:val="en-GB"/>
              </w:rPr>
            </w:pPr>
          </w:p>
        </w:tc>
        <w:tc>
          <w:tcPr>
            <w:tcW w:w="708"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bottom"/>
          </w:tcPr>
          <w:p w14:paraId="67964806" w14:textId="77777777" w:rsidR="009707C4" w:rsidRPr="004D17AE" w:rsidRDefault="009707C4" w:rsidP="002D457C">
            <w:pPr>
              <w:spacing w:line="240" w:lineRule="auto"/>
              <w:jc w:val="right"/>
              <w:rPr>
                <w:sz w:val="18"/>
                <w:szCs w:val="18"/>
                <w:lang w:val="en-GB"/>
              </w:rPr>
            </w:pPr>
            <w:r w:rsidRPr="004D17AE">
              <w:rPr>
                <w:sz w:val="18"/>
                <w:szCs w:val="18"/>
                <w:lang w:val="en-GB"/>
              </w:rPr>
              <w:t>1013</w:t>
            </w:r>
          </w:p>
        </w:tc>
        <w:tc>
          <w:tcPr>
            <w:tcW w:w="606" w:type="dxa"/>
            <w:tcBorders>
              <w:bottom w:val="single" w:sz="8" w:space="0" w:color="000000"/>
              <w:right w:val="single" w:sz="8" w:space="0" w:color="000000"/>
            </w:tcBorders>
            <w:shd w:val="clear" w:color="auto" w:fill="auto"/>
            <w:tcMar>
              <w:top w:w="0" w:type="dxa"/>
              <w:left w:w="70" w:type="dxa"/>
              <w:bottom w:w="0" w:type="dxa"/>
              <w:right w:w="70" w:type="dxa"/>
            </w:tcMar>
            <w:vAlign w:val="bottom"/>
          </w:tcPr>
          <w:p w14:paraId="0B560F36" w14:textId="77777777" w:rsidR="009707C4" w:rsidRPr="004D17AE" w:rsidRDefault="009707C4" w:rsidP="002D457C">
            <w:pPr>
              <w:spacing w:line="240" w:lineRule="auto"/>
              <w:jc w:val="right"/>
              <w:rPr>
                <w:sz w:val="18"/>
                <w:szCs w:val="18"/>
                <w:lang w:val="en-GB"/>
              </w:rPr>
            </w:pPr>
          </w:p>
        </w:tc>
        <w:tc>
          <w:tcPr>
            <w:tcW w:w="426" w:type="dxa"/>
            <w:tcBorders>
              <w:bottom w:val="single" w:sz="8" w:space="0" w:color="000000"/>
              <w:right w:val="single" w:sz="8" w:space="0" w:color="000000"/>
            </w:tcBorders>
            <w:shd w:val="clear" w:color="auto" w:fill="auto"/>
            <w:tcMar>
              <w:top w:w="0" w:type="dxa"/>
              <w:left w:w="70" w:type="dxa"/>
              <w:bottom w:w="0" w:type="dxa"/>
              <w:right w:w="70" w:type="dxa"/>
            </w:tcMar>
            <w:vAlign w:val="bottom"/>
          </w:tcPr>
          <w:p w14:paraId="7F9235D9" w14:textId="77777777" w:rsidR="009707C4" w:rsidRPr="004D17AE" w:rsidRDefault="009707C4" w:rsidP="002D457C">
            <w:pPr>
              <w:spacing w:line="240" w:lineRule="auto"/>
              <w:jc w:val="right"/>
              <w:rPr>
                <w:sz w:val="18"/>
                <w:szCs w:val="18"/>
              </w:rPr>
            </w:pPr>
          </w:p>
        </w:tc>
        <w:tc>
          <w:tcPr>
            <w:tcW w:w="781" w:type="dxa"/>
            <w:tcBorders>
              <w:bottom w:val="single" w:sz="8" w:space="0" w:color="000000"/>
              <w:right w:val="single" w:sz="8" w:space="0" w:color="000000"/>
            </w:tcBorders>
            <w:shd w:val="clear" w:color="auto" w:fill="auto"/>
            <w:tcMar>
              <w:top w:w="0" w:type="dxa"/>
              <w:left w:w="70" w:type="dxa"/>
              <w:bottom w:w="0" w:type="dxa"/>
              <w:right w:w="70" w:type="dxa"/>
            </w:tcMar>
            <w:vAlign w:val="bottom"/>
          </w:tcPr>
          <w:p w14:paraId="2728BE9E" w14:textId="77777777" w:rsidR="009707C4" w:rsidRPr="004D17AE" w:rsidRDefault="009707C4" w:rsidP="002D457C">
            <w:pPr>
              <w:spacing w:line="240" w:lineRule="auto"/>
              <w:jc w:val="right"/>
              <w:rPr>
                <w:sz w:val="18"/>
                <w:szCs w:val="18"/>
              </w:rPr>
            </w:pPr>
          </w:p>
        </w:tc>
      </w:tr>
      <w:tr w:rsidR="00162E69" w:rsidRPr="004D17AE" w14:paraId="52F4EAFF" w14:textId="77777777" w:rsidTr="004D17AE">
        <w:trPr>
          <w:trHeight w:val="77"/>
          <w:jc w:val="center"/>
        </w:trPr>
        <w:tc>
          <w:tcPr>
            <w:tcW w:w="1299"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7788BBC3" w14:textId="77777777" w:rsidR="009707C4" w:rsidRPr="004D17AE" w:rsidRDefault="009707C4" w:rsidP="002D457C">
            <w:pPr>
              <w:spacing w:line="240" w:lineRule="auto"/>
              <w:rPr>
                <w:bCs/>
                <w:sz w:val="18"/>
                <w:szCs w:val="18"/>
                <w:lang w:val="en-GB"/>
              </w:rPr>
            </w:pPr>
            <w:r w:rsidRPr="004D17AE">
              <w:rPr>
                <w:bCs/>
                <w:sz w:val="18"/>
                <w:szCs w:val="18"/>
                <w:lang w:val="en-GB"/>
              </w:rPr>
              <w:t>Euroimpianti Spa</w:t>
            </w:r>
          </w:p>
        </w:tc>
        <w:tc>
          <w:tcPr>
            <w:tcW w:w="1130"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53981DB4" w14:textId="77777777" w:rsidR="009707C4" w:rsidRPr="004D17AE" w:rsidRDefault="009707C4" w:rsidP="002D457C">
            <w:pPr>
              <w:spacing w:line="240" w:lineRule="auto"/>
              <w:jc w:val="right"/>
              <w:rPr>
                <w:sz w:val="18"/>
                <w:szCs w:val="18"/>
                <w:lang w:val="en-GB"/>
              </w:rPr>
            </w:pPr>
            <w:r w:rsidRPr="004D17AE">
              <w:rPr>
                <w:sz w:val="18"/>
                <w:szCs w:val="18"/>
                <w:lang w:val="en-GB"/>
              </w:rPr>
              <w:t>2</w:t>
            </w:r>
          </w:p>
        </w:tc>
        <w:tc>
          <w:tcPr>
            <w:tcW w:w="605"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0DB85198" w14:textId="77777777" w:rsidR="009707C4" w:rsidRPr="004D17AE" w:rsidRDefault="009707C4" w:rsidP="002D457C">
            <w:pPr>
              <w:spacing w:line="240" w:lineRule="auto"/>
              <w:jc w:val="right"/>
              <w:rPr>
                <w:sz w:val="18"/>
                <w:szCs w:val="18"/>
                <w:lang w:val="en-GB"/>
              </w:rPr>
            </w:pPr>
            <w:r w:rsidRPr="004D17AE">
              <w:rPr>
                <w:sz w:val="18"/>
                <w:szCs w:val="18"/>
                <w:lang w:val="en-GB"/>
              </w:rPr>
              <w:t>87</w:t>
            </w:r>
          </w:p>
        </w:tc>
        <w:tc>
          <w:tcPr>
            <w:tcW w:w="973"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bottom"/>
          </w:tcPr>
          <w:p w14:paraId="731EE778" w14:textId="77777777" w:rsidR="009707C4" w:rsidRPr="004D17AE" w:rsidRDefault="009707C4" w:rsidP="002D457C">
            <w:pPr>
              <w:spacing w:line="240" w:lineRule="auto"/>
              <w:jc w:val="right"/>
              <w:rPr>
                <w:sz w:val="18"/>
                <w:szCs w:val="18"/>
                <w:lang w:val="en-GB"/>
              </w:rPr>
            </w:pPr>
          </w:p>
        </w:tc>
        <w:tc>
          <w:tcPr>
            <w:tcW w:w="906" w:type="dxa"/>
            <w:tcBorders>
              <w:bottom w:val="single" w:sz="8" w:space="0" w:color="000000"/>
              <w:right w:val="single" w:sz="8" w:space="0" w:color="000000"/>
            </w:tcBorders>
            <w:vAlign w:val="bottom"/>
          </w:tcPr>
          <w:p w14:paraId="03A2C9BA" w14:textId="77777777" w:rsidR="009707C4" w:rsidRPr="004D17AE" w:rsidRDefault="009707C4" w:rsidP="002D457C">
            <w:pPr>
              <w:spacing w:line="240" w:lineRule="auto"/>
              <w:jc w:val="right"/>
              <w:rPr>
                <w:sz w:val="18"/>
                <w:szCs w:val="18"/>
                <w:lang w:val="en-GB"/>
              </w:rPr>
            </w:pPr>
          </w:p>
        </w:tc>
        <w:tc>
          <w:tcPr>
            <w:tcW w:w="708"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bottom"/>
          </w:tcPr>
          <w:p w14:paraId="1721A40A" w14:textId="77777777" w:rsidR="009707C4" w:rsidRPr="004D17AE" w:rsidRDefault="009707C4" w:rsidP="002D457C">
            <w:pPr>
              <w:spacing w:line="240" w:lineRule="auto"/>
              <w:jc w:val="right"/>
              <w:rPr>
                <w:sz w:val="18"/>
                <w:szCs w:val="18"/>
                <w:lang w:val="en-GB"/>
              </w:rPr>
            </w:pPr>
          </w:p>
        </w:tc>
        <w:tc>
          <w:tcPr>
            <w:tcW w:w="606" w:type="dxa"/>
            <w:tcBorders>
              <w:bottom w:val="single" w:sz="8" w:space="0" w:color="000000"/>
              <w:right w:val="single" w:sz="8" w:space="0" w:color="000000"/>
            </w:tcBorders>
            <w:shd w:val="clear" w:color="auto" w:fill="auto"/>
            <w:tcMar>
              <w:top w:w="0" w:type="dxa"/>
              <w:left w:w="70" w:type="dxa"/>
              <w:bottom w:w="0" w:type="dxa"/>
              <w:right w:w="70" w:type="dxa"/>
            </w:tcMar>
            <w:vAlign w:val="bottom"/>
          </w:tcPr>
          <w:p w14:paraId="009EC158" w14:textId="77777777" w:rsidR="009707C4" w:rsidRPr="004D17AE" w:rsidRDefault="009707C4" w:rsidP="002D457C">
            <w:pPr>
              <w:spacing w:line="240" w:lineRule="auto"/>
              <w:jc w:val="right"/>
              <w:rPr>
                <w:sz w:val="18"/>
                <w:szCs w:val="18"/>
                <w:lang w:val="en-GB"/>
              </w:rPr>
            </w:pPr>
          </w:p>
        </w:tc>
        <w:tc>
          <w:tcPr>
            <w:tcW w:w="426" w:type="dxa"/>
            <w:tcBorders>
              <w:bottom w:val="single" w:sz="8" w:space="0" w:color="000000"/>
              <w:right w:val="single" w:sz="8" w:space="0" w:color="000000"/>
            </w:tcBorders>
            <w:shd w:val="clear" w:color="auto" w:fill="auto"/>
            <w:tcMar>
              <w:top w:w="0" w:type="dxa"/>
              <w:left w:w="70" w:type="dxa"/>
              <w:bottom w:w="0" w:type="dxa"/>
              <w:right w:w="70" w:type="dxa"/>
            </w:tcMar>
            <w:vAlign w:val="bottom"/>
          </w:tcPr>
          <w:p w14:paraId="656BF8CD" w14:textId="77777777" w:rsidR="009707C4" w:rsidRPr="004D17AE" w:rsidRDefault="009707C4" w:rsidP="002D457C">
            <w:pPr>
              <w:spacing w:line="240" w:lineRule="auto"/>
              <w:jc w:val="right"/>
              <w:rPr>
                <w:sz w:val="18"/>
                <w:szCs w:val="18"/>
              </w:rPr>
            </w:pPr>
          </w:p>
        </w:tc>
        <w:tc>
          <w:tcPr>
            <w:tcW w:w="781" w:type="dxa"/>
            <w:tcBorders>
              <w:bottom w:val="single" w:sz="8" w:space="0" w:color="000000"/>
              <w:right w:val="single" w:sz="8" w:space="0" w:color="000000"/>
            </w:tcBorders>
            <w:shd w:val="clear" w:color="auto" w:fill="auto"/>
            <w:tcMar>
              <w:top w:w="0" w:type="dxa"/>
              <w:left w:w="70" w:type="dxa"/>
              <w:bottom w:w="0" w:type="dxa"/>
              <w:right w:w="70" w:type="dxa"/>
            </w:tcMar>
            <w:vAlign w:val="bottom"/>
          </w:tcPr>
          <w:p w14:paraId="7A34B446" w14:textId="77777777" w:rsidR="009707C4" w:rsidRPr="004D17AE" w:rsidRDefault="009707C4" w:rsidP="002D457C">
            <w:pPr>
              <w:spacing w:line="240" w:lineRule="auto"/>
              <w:jc w:val="right"/>
              <w:rPr>
                <w:sz w:val="18"/>
                <w:szCs w:val="18"/>
              </w:rPr>
            </w:pPr>
          </w:p>
        </w:tc>
      </w:tr>
      <w:tr w:rsidR="00162E69" w:rsidRPr="004D17AE" w14:paraId="3F83120D" w14:textId="77777777" w:rsidTr="004D17AE">
        <w:trPr>
          <w:trHeight w:val="77"/>
          <w:jc w:val="center"/>
        </w:trPr>
        <w:tc>
          <w:tcPr>
            <w:tcW w:w="1299" w:type="dxa"/>
            <w:tcBorders>
              <w:left w:val="single" w:sz="8" w:space="0" w:color="000000"/>
              <w:bottom w:val="single" w:sz="8" w:space="0" w:color="000000"/>
              <w:right w:val="single" w:sz="8" w:space="0" w:color="000000"/>
            </w:tcBorders>
            <w:shd w:val="clear" w:color="auto" w:fill="auto"/>
            <w:noWrap/>
            <w:tcMar>
              <w:top w:w="0" w:type="dxa"/>
              <w:left w:w="70" w:type="dxa"/>
              <w:bottom w:w="0" w:type="dxa"/>
              <w:right w:w="70" w:type="dxa"/>
            </w:tcMar>
            <w:vAlign w:val="bottom"/>
          </w:tcPr>
          <w:p w14:paraId="18E8255C" w14:textId="77777777" w:rsidR="009707C4" w:rsidRPr="004D17AE" w:rsidRDefault="009707C4" w:rsidP="002D457C">
            <w:pPr>
              <w:spacing w:line="240" w:lineRule="auto"/>
              <w:rPr>
                <w:bCs/>
                <w:sz w:val="18"/>
                <w:szCs w:val="18"/>
                <w:lang w:val="en-US"/>
              </w:rPr>
            </w:pPr>
            <w:r w:rsidRPr="004D17AE">
              <w:rPr>
                <w:bCs/>
                <w:sz w:val="18"/>
                <w:szCs w:val="18"/>
                <w:lang w:val="en-GB"/>
              </w:rPr>
              <w:t>Sinelec Spa</w:t>
            </w:r>
          </w:p>
        </w:tc>
        <w:tc>
          <w:tcPr>
            <w:tcW w:w="1130"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1CEE0368" w14:textId="77777777" w:rsidR="009707C4" w:rsidRPr="004D17AE" w:rsidRDefault="009707C4" w:rsidP="002D457C">
            <w:pPr>
              <w:spacing w:line="240" w:lineRule="auto"/>
              <w:jc w:val="right"/>
              <w:rPr>
                <w:sz w:val="18"/>
                <w:szCs w:val="18"/>
                <w:lang w:val="en-GB"/>
              </w:rPr>
            </w:pPr>
          </w:p>
        </w:tc>
        <w:tc>
          <w:tcPr>
            <w:tcW w:w="605"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14:paraId="72055D1B" w14:textId="77777777" w:rsidR="009707C4" w:rsidRPr="004D17AE" w:rsidRDefault="009707C4" w:rsidP="009707C4">
            <w:pPr>
              <w:spacing w:line="240" w:lineRule="auto"/>
              <w:jc w:val="right"/>
              <w:rPr>
                <w:sz w:val="18"/>
                <w:szCs w:val="18"/>
                <w:lang w:val="en-GB"/>
              </w:rPr>
            </w:pPr>
            <w:r w:rsidRPr="004D17AE">
              <w:rPr>
                <w:sz w:val="18"/>
                <w:szCs w:val="18"/>
                <w:lang w:val="en-GB"/>
              </w:rPr>
              <w:t>4</w:t>
            </w:r>
          </w:p>
        </w:tc>
        <w:tc>
          <w:tcPr>
            <w:tcW w:w="973" w:type="dxa"/>
            <w:tcBorders>
              <w:top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bottom"/>
          </w:tcPr>
          <w:p w14:paraId="52D1DB14" w14:textId="77777777" w:rsidR="009707C4" w:rsidRPr="004D17AE" w:rsidRDefault="009707C4" w:rsidP="002D457C">
            <w:pPr>
              <w:spacing w:line="240" w:lineRule="auto"/>
              <w:jc w:val="right"/>
              <w:rPr>
                <w:sz w:val="18"/>
                <w:szCs w:val="18"/>
                <w:lang w:val="en-GB"/>
              </w:rPr>
            </w:pPr>
          </w:p>
        </w:tc>
        <w:tc>
          <w:tcPr>
            <w:tcW w:w="906" w:type="dxa"/>
            <w:tcBorders>
              <w:bottom w:val="single" w:sz="8" w:space="0" w:color="000000"/>
              <w:right w:val="single" w:sz="8" w:space="0" w:color="000000"/>
            </w:tcBorders>
            <w:vAlign w:val="bottom"/>
          </w:tcPr>
          <w:p w14:paraId="57CE7B49" w14:textId="77777777" w:rsidR="009707C4" w:rsidRPr="004D17AE" w:rsidRDefault="009707C4" w:rsidP="002D457C">
            <w:pPr>
              <w:spacing w:line="240" w:lineRule="auto"/>
              <w:jc w:val="right"/>
              <w:rPr>
                <w:sz w:val="18"/>
                <w:szCs w:val="18"/>
                <w:lang w:val="en-GB"/>
              </w:rPr>
            </w:pPr>
          </w:p>
        </w:tc>
        <w:tc>
          <w:tcPr>
            <w:tcW w:w="708"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bottom"/>
          </w:tcPr>
          <w:p w14:paraId="275C8460" w14:textId="77777777" w:rsidR="009707C4" w:rsidRPr="004D17AE" w:rsidRDefault="009707C4" w:rsidP="002D457C">
            <w:pPr>
              <w:spacing w:line="240" w:lineRule="auto"/>
              <w:jc w:val="right"/>
              <w:rPr>
                <w:sz w:val="18"/>
                <w:szCs w:val="18"/>
                <w:lang w:val="en-GB"/>
              </w:rPr>
            </w:pPr>
            <w:r w:rsidRPr="004D17AE">
              <w:rPr>
                <w:sz w:val="18"/>
                <w:szCs w:val="18"/>
                <w:lang w:val="en-GB"/>
              </w:rPr>
              <w:t>1</w:t>
            </w:r>
          </w:p>
        </w:tc>
        <w:tc>
          <w:tcPr>
            <w:tcW w:w="606" w:type="dxa"/>
            <w:tcBorders>
              <w:bottom w:val="single" w:sz="8" w:space="0" w:color="000000"/>
              <w:right w:val="single" w:sz="8" w:space="0" w:color="000000"/>
            </w:tcBorders>
            <w:shd w:val="clear" w:color="auto" w:fill="auto"/>
            <w:tcMar>
              <w:top w:w="0" w:type="dxa"/>
              <w:left w:w="70" w:type="dxa"/>
              <w:bottom w:w="0" w:type="dxa"/>
              <w:right w:w="70" w:type="dxa"/>
            </w:tcMar>
            <w:vAlign w:val="bottom"/>
          </w:tcPr>
          <w:p w14:paraId="234F1D16" w14:textId="77777777" w:rsidR="009707C4" w:rsidRPr="004D17AE" w:rsidRDefault="009707C4" w:rsidP="002D457C">
            <w:pPr>
              <w:spacing w:line="240" w:lineRule="auto"/>
              <w:jc w:val="right"/>
              <w:rPr>
                <w:sz w:val="18"/>
                <w:szCs w:val="18"/>
                <w:lang w:val="en-GB"/>
              </w:rPr>
            </w:pPr>
          </w:p>
        </w:tc>
        <w:tc>
          <w:tcPr>
            <w:tcW w:w="426" w:type="dxa"/>
            <w:tcBorders>
              <w:bottom w:val="single" w:sz="8" w:space="0" w:color="000000"/>
              <w:right w:val="single" w:sz="8" w:space="0" w:color="000000"/>
            </w:tcBorders>
            <w:shd w:val="clear" w:color="auto" w:fill="auto"/>
            <w:tcMar>
              <w:top w:w="0" w:type="dxa"/>
              <w:left w:w="70" w:type="dxa"/>
              <w:bottom w:w="0" w:type="dxa"/>
              <w:right w:w="70" w:type="dxa"/>
            </w:tcMar>
            <w:vAlign w:val="bottom"/>
          </w:tcPr>
          <w:p w14:paraId="2D1B900A" w14:textId="77777777" w:rsidR="009707C4" w:rsidRPr="004D17AE" w:rsidRDefault="009707C4" w:rsidP="002D457C">
            <w:pPr>
              <w:spacing w:line="240" w:lineRule="auto"/>
              <w:jc w:val="right"/>
              <w:rPr>
                <w:sz w:val="18"/>
                <w:szCs w:val="18"/>
              </w:rPr>
            </w:pPr>
          </w:p>
        </w:tc>
        <w:tc>
          <w:tcPr>
            <w:tcW w:w="781" w:type="dxa"/>
            <w:tcBorders>
              <w:bottom w:val="single" w:sz="8" w:space="0" w:color="000000"/>
              <w:right w:val="single" w:sz="8" w:space="0" w:color="000000"/>
            </w:tcBorders>
            <w:shd w:val="clear" w:color="auto" w:fill="auto"/>
            <w:tcMar>
              <w:top w:w="0" w:type="dxa"/>
              <w:left w:w="70" w:type="dxa"/>
              <w:bottom w:w="0" w:type="dxa"/>
              <w:right w:w="70" w:type="dxa"/>
            </w:tcMar>
            <w:vAlign w:val="bottom"/>
          </w:tcPr>
          <w:p w14:paraId="15718835" w14:textId="77777777" w:rsidR="009707C4" w:rsidRPr="004D17AE" w:rsidRDefault="009707C4" w:rsidP="002D457C">
            <w:pPr>
              <w:spacing w:line="240" w:lineRule="auto"/>
              <w:jc w:val="right"/>
              <w:rPr>
                <w:sz w:val="18"/>
                <w:szCs w:val="18"/>
              </w:rPr>
            </w:pPr>
          </w:p>
        </w:tc>
      </w:tr>
    </w:tbl>
    <w:p w14:paraId="22584A6D" w14:textId="77777777" w:rsidR="002E643C" w:rsidRPr="00162E69" w:rsidRDefault="007A19A9">
      <w:pPr>
        <w:rPr>
          <w:b/>
          <w:bCs/>
          <w:smallCaps/>
          <w:szCs w:val="24"/>
        </w:rPr>
      </w:pPr>
      <w:r w:rsidRPr="00162E69">
        <w:rPr>
          <w:b/>
          <w:bCs/>
          <w:smallCaps/>
          <w:szCs w:val="24"/>
        </w:rPr>
        <w:t>Il numero e il valore nominale sia delle azioni proprie sia delle azioni o quote di società controllanti possedute dalla società, anche per il tramite di società fiduciaria o per interposta persona, con indicazione della parte di capitale corrispondente.</w:t>
      </w:r>
    </w:p>
    <w:p w14:paraId="302BF8F0" w14:textId="77777777" w:rsidR="002E643C" w:rsidRPr="00162E69" w:rsidRDefault="007A19A9" w:rsidP="00AC3ADD">
      <w:pPr>
        <w:pStyle w:val="Corpodeltesto2"/>
        <w:keepNext w:val="0"/>
        <w:pBdr>
          <w:top w:val="none" w:sz="0" w:space="0" w:color="auto"/>
          <w:left w:val="none" w:sz="0" w:space="0" w:color="auto"/>
          <w:bottom w:val="none" w:sz="0" w:space="0" w:color="auto"/>
          <w:right w:val="none" w:sz="0" w:space="0" w:color="auto"/>
        </w:pBdr>
        <w:textAlignment w:val="baseline"/>
        <w:rPr>
          <w:b w:val="0"/>
          <w:bCs w:val="0"/>
          <w:smallCaps w:val="0"/>
          <w:szCs w:val="24"/>
        </w:rPr>
      </w:pPr>
      <w:r w:rsidRPr="00162E69">
        <w:rPr>
          <w:b w:val="0"/>
          <w:bCs w:val="0"/>
          <w:smallCaps w:val="0"/>
          <w:szCs w:val="24"/>
        </w:rPr>
        <w:t>La Società non possiede quote proprie, né azioni o quote di società controllanti.</w:t>
      </w:r>
    </w:p>
    <w:p w14:paraId="21F9D1A7" w14:textId="77777777" w:rsidR="002E643C" w:rsidRPr="00162E69" w:rsidRDefault="007A19A9">
      <w:pPr>
        <w:rPr>
          <w:b/>
          <w:bCs/>
          <w:smallCaps/>
          <w:szCs w:val="24"/>
        </w:rPr>
      </w:pPr>
      <w:r w:rsidRPr="00162E69">
        <w:rPr>
          <w:b/>
          <w:bCs/>
          <w:smallCaps/>
          <w:szCs w:val="24"/>
        </w:rPr>
        <w:t>Il numero e il valore nominale sia delle azioni proprie sia delle azioni o quote di società controllanti acquistate o alienate dalla società</w:t>
      </w:r>
    </w:p>
    <w:p w14:paraId="07ECAB91" w14:textId="77777777" w:rsidR="002E643C" w:rsidRPr="00162E69" w:rsidRDefault="00AC3ADD">
      <w:pPr>
        <w:rPr>
          <w:szCs w:val="24"/>
        </w:rPr>
      </w:pPr>
      <w:r w:rsidRPr="00162E69">
        <w:rPr>
          <w:szCs w:val="24"/>
        </w:rPr>
        <w:t xml:space="preserve">La Società </w:t>
      </w:r>
      <w:r w:rsidR="00961245" w:rsidRPr="00162E69">
        <w:rPr>
          <w:szCs w:val="24"/>
        </w:rPr>
        <w:t>non ha acquistato né alienato quote proprie, né azioni o quote di società controllanti.</w:t>
      </w:r>
    </w:p>
    <w:p w14:paraId="1D7EA07C" w14:textId="77777777" w:rsidR="002E643C" w:rsidRPr="00162E69" w:rsidRDefault="007A19A9">
      <w:pPr>
        <w:rPr>
          <w:b/>
          <w:bCs/>
          <w:smallCaps/>
          <w:szCs w:val="24"/>
        </w:rPr>
      </w:pPr>
      <w:r w:rsidRPr="00162E69">
        <w:rPr>
          <w:b/>
          <w:bCs/>
          <w:smallCaps/>
          <w:szCs w:val="24"/>
        </w:rPr>
        <w:t>L'evoluzione prevedibile della gestione</w:t>
      </w:r>
    </w:p>
    <w:p w14:paraId="1DDF817A" w14:textId="77777777" w:rsidR="00D60AF7" w:rsidRPr="00162E69" w:rsidRDefault="0060120B" w:rsidP="00800E2E">
      <w:pPr>
        <w:keepNext/>
        <w:spacing w:before="240" w:line="360" w:lineRule="auto"/>
        <w:rPr>
          <w:szCs w:val="24"/>
        </w:rPr>
      </w:pPr>
      <w:r w:rsidRPr="00162E69">
        <w:rPr>
          <w:szCs w:val="24"/>
        </w:rPr>
        <w:t xml:space="preserve">Nel corso dell’anno </w:t>
      </w:r>
      <w:r w:rsidR="0066526D" w:rsidRPr="00162E69">
        <w:rPr>
          <w:szCs w:val="24"/>
        </w:rPr>
        <w:t xml:space="preserve">2021 </w:t>
      </w:r>
      <w:r w:rsidRPr="00162E69">
        <w:rPr>
          <w:szCs w:val="24"/>
        </w:rPr>
        <w:t xml:space="preserve">l’economia nazionale </w:t>
      </w:r>
      <w:r w:rsidR="00D60AF7" w:rsidRPr="00162E69">
        <w:rPr>
          <w:szCs w:val="24"/>
        </w:rPr>
        <w:t xml:space="preserve">secondo i dati di contabilità nazionale resi disponibili dall’ISTAT, nel primo trimestre il Pil ha registrato ancora una contrazione rispetto al precedente esercizio segnando arretramenti </w:t>
      </w:r>
      <w:r w:rsidR="00D60AF7" w:rsidRPr="00162E69">
        <w:rPr>
          <w:szCs w:val="24"/>
        </w:rPr>
        <w:lastRenderedPageBreak/>
        <w:t>del valore aggiunto in particolar modo sul settore dei servizi. Tuttavia dal secondo trimestre e nei mesi estivi si sono avuti segnali di ripresa in linea con il processo di riapertura delle attività ed in concomitanza con la flessione dei contagi. Nel terzo trimestre la crescita si è estesa a tutti i comparti economici, sostenuta dal lato della domanda sia dalla componente nazionale che estera, facendo registrare una variazione positiva pari al 6,1%, che porta a stimare in via preliminare una crescita su base annua pari a circa il 6,5%.</w:t>
      </w:r>
    </w:p>
    <w:p w14:paraId="2276E34A" w14:textId="77777777" w:rsidR="00B773DD" w:rsidRPr="00162E69" w:rsidRDefault="00D60AF7" w:rsidP="002D457C">
      <w:pPr>
        <w:pStyle w:val="E"/>
        <w:tabs>
          <w:tab w:val="clear" w:pos="0"/>
          <w:tab w:val="left" w:pos="709"/>
        </w:tabs>
        <w:overflowPunct w:val="0"/>
        <w:rPr>
          <w:szCs w:val="24"/>
          <w:highlight w:val="yellow"/>
        </w:rPr>
      </w:pPr>
      <w:r w:rsidRPr="00162E69">
        <w:rPr>
          <w:szCs w:val="24"/>
        </w:rPr>
        <w:t xml:space="preserve">In tale contesto la Società ha continuato la sua attività di sviluppo, già avviata nella seconda metà del 2020, registrando nel 2021 risultati positivi, anche conseguenti alle disposizioni del MIMS sugli interventi prioritari legati alla sicurezza delle infrastrutture autostradali </w:t>
      </w:r>
    </w:p>
    <w:p w14:paraId="45FA49AD" w14:textId="7AF8C8D1" w:rsidR="0060120B" w:rsidRPr="00162E69" w:rsidRDefault="0060120B" w:rsidP="0060120B">
      <w:pPr>
        <w:rPr>
          <w:szCs w:val="24"/>
          <w:highlight w:val="yellow"/>
        </w:rPr>
      </w:pPr>
      <w:r w:rsidRPr="00162E69">
        <w:rPr>
          <w:szCs w:val="24"/>
        </w:rPr>
        <w:t xml:space="preserve">Per quanto concerne le prospettive dell’economia nazionale per l’esercizio </w:t>
      </w:r>
      <w:r w:rsidR="00D60AF7" w:rsidRPr="00162E69">
        <w:rPr>
          <w:szCs w:val="24"/>
        </w:rPr>
        <w:t>2022</w:t>
      </w:r>
      <w:r w:rsidRPr="00162E69">
        <w:rPr>
          <w:szCs w:val="24"/>
        </w:rPr>
        <w:t xml:space="preserve">, per le considerazioni sopra </w:t>
      </w:r>
      <w:r w:rsidR="00D35C65" w:rsidRPr="00162E69">
        <w:rPr>
          <w:szCs w:val="24"/>
        </w:rPr>
        <w:t>ac</w:t>
      </w:r>
      <w:r w:rsidRPr="00162E69">
        <w:rPr>
          <w:szCs w:val="24"/>
        </w:rPr>
        <w:t xml:space="preserve">cennate, paiono orientate nella direzione di </w:t>
      </w:r>
      <w:r w:rsidR="00D60AF7" w:rsidRPr="00162E69">
        <w:rPr>
          <w:szCs w:val="24"/>
        </w:rPr>
        <w:t xml:space="preserve">una crescita, ancorché sussistono motivi di preoccupazione generati da </w:t>
      </w:r>
      <w:r w:rsidR="00457378">
        <w:rPr>
          <w:szCs w:val="24"/>
        </w:rPr>
        <w:t>l conflitto Russia vs Ucraina</w:t>
      </w:r>
      <w:r w:rsidR="00D60AF7" w:rsidRPr="00162E69">
        <w:rPr>
          <w:szCs w:val="24"/>
        </w:rPr>
        <w:t xml:space="preserve"> e da un repentino innalzarsi del tasso inflattivo che </w:t>
      </w:r>
      <w:r w:rsidR="004327BD">
        <w:rPr>
          <w:szCs w:val="24"/>
        </w:rPr>
        <w:t>intere</w:t>
      </w:r>
      <w:r w:rsidR="00D60AF7" w:rsidRPr="00162E69">
        <w:rPr>
          <w:szCs w:val="24"/>
        </w:rPr>
        <w:t xml:space="preserve"> sui costi </w:t>
      </w:r>
      <w:r w:rsidR="00457378">
        <w:rPr>
          <w:szCs w:val="24"/>
        </w:rPr>
        <w:t xml:space="preserve">energetici e </w:t>
      </w:r>
      <w:r w:rsidR="00D60AF7" w:rsidRPr="00162E69">
        <w:rPr>
          <w:szCs w:val="24"/>
        </w:rPr>
        <w:t>dei materiali da costruzione</w:t>
      </w:r>
      <w:r w:rsidR="00457378">
        <w:rPr>
          <w:szCs w:val="24"/>
        </w:rPr>
        <w:t xml:space="preserve"> che</w:t>
      </w:r>
      <w:r w:rsidR="00D60AF7" w:rsidRPr="00162E69">
        <w:rPr>
          <w:szCs w:val="24"/>
        </w:rPr>
        <w:t>, potr</w:t>
      </w:r>
      <w:r w:rsidR="00457378">
        <w:rPr>
          <w:szCs w:val="24"/>
        </w:rPr>
        <w:t>anno</w:t>
      </w:r>
      <w:r w:rsidR="00D60AF7" w:rsidRPr="00162E69">
        <w:rPr>
          <w:szCs w:val="24"/>
        </w:rPr>
        <w:t xml:space="preserve"> riflettersi negativamente sulle aspettative di crescita.</w:t>
      </w:r>
      <w:r w:rsidRPr="00162E69">
        <w:rPr>
          <w:szCs w:val="24"/>
        </w:rPr>
        <w:t xml:space="preserve"> </w:t>
      </w:r>
    </w:p>
    <w:p w14:paraId="3DEDC4E3" w14:textId="77777777" w:rsidR="00302FC9" w:rsidRDefault="00DC009D" w:rsidP="00DC009D">
      <w:pPr>
        <w:rPr>
          <w:szCs w:val="24"/>
        </w:rPr>
      </w:pPr>
      <w:r w:rsidRPr="00162E69">
        <w:rPr>
          <w:szCs w:val="24"/>
        </w:rPr>
        <w:t>Per quanto più direttamente attiene alla nostra impresa, si osserva che l’esercizio 20</w:t>
      </w:r>
      <w:r w:rsidR="00806B0F" w:rsidRPr="00162E69">
        <w:rPr>
          <w:szCs w:val="24"/>
        </w:rPr>
        <w:t>2</w:t>
      </w:r>
      <w:r w:rsidR="00D60AF7" w:rsidRPr="00162E69">
        <w:rPr>
          <w:szCs w:val="24"/>
        </w:rPr>
        <w:t>1</w:t>
      </w:r>
      <w:r w:rsidRPr="00162E69">
        <w:rPr>
          <w:szCs w:val="24"/>
        </w:rPr>
        <w:t xml:space="preserve"> ha visto una </w:t>
      </w:r>
      <w:r w:rsidR="006F52BD" w:rsidRPr="00162E69">
        <w:rPr>
          <w:szCs w:val="24"/>
        </w:rPr>
        <w:t xml:space="preserve">contrazione </w:t>
      </w:r>
      <w:r w:rsidRPr="00162E69">
        <w:rPr>
          <w:szCs w:val="24"/>
        </w:rPr>
        <w:t xml:space="preserve"> della produzione, </w:t>
      </w:r>
      <w:r w:rsidR="00457378">
        <w:rPr>
          <w:szCs w:val="24"/>
        </w:rPr>
        <w:t>tuttavia i</w:t>
      </w:r>
      <w:r w:rsidRPr="00162E69">
        <w:rPr>
          <w:szCs w:val="24"/>
        </w:rPr>
        <w:t xml:space="preserve">l portafoglio delle commesse assunte, </w:t>
      </w:r>
      <w:r w:rsidR="00457378">
        <w:rPr>
          <w:szCs w:val="24"/>
        </w:rPr>
        <w:t xml:space="preserve">ed </w:t>
      </w:r>
      <w:r w:rsidRPr="00162E69">
        <w:rPr>
          <w:szCs w:val="24"/>
        </w:rPr>
        <w:t xml:space="preserve">i programmi d’interventi manutentori e di nuove opere previste dalla Controllante per l’anno </w:t>
      </w:r>
      <w:r w:rsidR="00FA4FD4" w:rsidRPr="00162E69">
        <w:rPr>
          <w:szCs w:val="24"/>
        </w:rPr>
        <w:t>2022</w:t>
      </w:r>
      <w:r w:rsidRPr="00162E69">
        <w:rPr>
          <w:szCs w:val="24"/>
        </w:rPr>
        <w:t xml:space="preserve">, </w:t>
      </w:r>
      <w:r w:rsidR="00457378">
        <w:rPr>
          <w:szCs w:val="24"/>
        </w:rPr>
        <w:t xml:space="preserve">nel mutato quadro </w:t>
      </w:r>
      <w:r w:rsidR="00FA4FD4" w:rsidRPr="00162E69">
        <w:rPr>
          <w:szCs w:val="24"/>
        </w:rPr>
        <w:t>normativ</w:t>
      </w:r>
      <w:r w:rsidR="00457378">
        <w:rPr>
          <w:szCs w:val="24"/>
        </w:rPr>
        <w:t>o</w:t>
      </w:r>
      <w:r w:rsidR="00FA4FD4" w:rsidRPr="00162E69">
        <w:rPr>
          <w:szCs w:val="24"/>
        </w:rPr>
        <w:t xml:space="preserve"> determinate dalla recente sentenza n 218/2021 della</w:t>
      </w:r>
      <w:r w:rsidR="0099256C" w:rsidRPr="00162E69">
        <w:rPr>
          <w:szCs w:val="24"/>
        </w:rPr>
        <w:t xml:space="preserve"> Corte Costituzionale </w:t>
      </w:r>
      <w:r w:rsidRPr="00162E69">
        <w:rPr>
          <w:szCs w:val="24"/>
        </w:rPr>
        <w:t xml:space="preserve"> </w:t>
      </w:r>
      <w:r w:rsidR="00FA4FD4" w:rsidRPr="00162E69">
        <w:rPr>
          <w:szCs w:val="24"/>
        </w:rPr>
        <w:t xml:space="preserve">che ha rimosso il limite dimensionale agli affidamenti infragruppo dei Concessionari, </w:t>
      </w:r>
      <w:r w:rsidR="004327BD">
        <w:rPr>
          <w:szCs w:val="24"/>
        </w:rPr>
        <w:t xml:space="preserve">fanno ritenere </w:t>
      </w:r>
      <w:r w:rsidRPr="00162E69">
        <w:rPr>
          <w:szCs w:val="24"/>
        </w:rPr>
        <w:t xml:space="preserve"> che la produzione verso la Controllante Sitaf </w:t>
      </w:r>
      <w:r w:rsidR="004327BD">
        <w:rPr>
          <w:szCs w:val="24"/>
        </w:rPr>
        <w:t>risulterà</w:t>
      </w:r>
      <w:r w:rsidR="00C318AC" w:rsidRPr="00162E69">
        <w:rPr>
          <w:szCs w:val="24"/>
        </w:rPr>
        <w:t xml:space="preserve"> in </w:t>
      </w:r>
      <w:r w:rsidR="00FA4FD4" w:rsidRPr="00162E69">
        <w:rPr>
          <w:szCs w:val="24"/>
        </w:rPr>
        <w:t xml:space="preserve">sensibile </w:t>
      </w:r>
      <w:r w:rsidR="00B50DFF" w:rsidRPr="00162E69">
        <w:rPr>
          <w:szCs w:val="24"/>
        </w:rPr>
        <w:t>crescita</w:t>
      </w:r>
      <w:r w:rsidR="00C318AC" w:rsidRPr="00162E69">
        <w:rPr>
          <w:szCs w:val="24"/>
        </w:rPr>
        <w:t xml:space="preserve"> </w:t>
      </w:r>
      <w:r w:rsidRPr="00162E69">
        <w:rPr>
          <w:szCs w:val="24"/>
        </w:rPr>
        <w:t xml:space="preserve"> </w:t>
      </w:r>
      <w:r w:rsidR="00C318AC" w:rsidRPr="00162E69">
        <w:rPr>
          <w:szCs w:val="24"/>
        </w:rPr>
        <w:t xml:space="preserve">rispetto al </w:t>
      </w:r>
      <w:r w:rsidRPr="00162E69">
        <w:rPr>
          <w:szCs w:val="24"/>
        </w:rPr>
        <w:t xml:space="preserve"> precedente esercizio, mentre per quanto attiene alle attività acquisite sul mercato, non possono formularsi previsioni attendibili, pertanto si ritiene, in via </w:t>
      </w:r>
      <w:r w:rsidRPr="00162E69">
        <w:rPr>
          <w:szCs w:val="24"/>
        </w:rPr>
        <w:lastRenderedPageBreak/>
        <w:t xml:space="preserve">prudenziale,  che il fatturato dell’anno in corso potrà subire una moderata contrazione rispetto all’esercizio </w:t>
      </w:r>
      <w:r w:rsidR="00FA4FD4" w:rsidRPr="00162E69">
        <w:rPr>
          <w:szCs w:val="24"/>
        </w:rPr>
        <w:t>2021</w:t>
      </w:r>
      <w:r w:rsidRPr="00162E69">
        <w:rPr>
          <w:szCs w:val="24"/>
        </w:rPr>
        <w:t>.</w:t>
      </w:r>
    </w:p>
    <w:p w14:paraId="65A6FAA0" w14:textId="77777777" w:rsidR="00302FC9" w:rsidRDefault="00302FC9" w:rsidP="00302FC9">
      <w:r>
        <w:t>SITALFA è impegnata nella stabilizzazione/implementazione della propria sede legale ed operativa ubicata in Bruzolo alla via Lago 11, che precedentemente era caratterizzata da un regime autorizzativo temporaneo, obiettivo che ha richiesto una lunga e complessa riclassificazione urbanistica ed idrogeologica del sito esistente.</w:t>
      </w:r>
    </w:p>
    <w:p w14:paraId="51E9B4E0" w14:textId="77777777" w:rsidR="00302FC9" w:rsidRDefault="00302FC9" w:rsidP="00302FC9">
      <w:r>
        <w:t>Detta fase si è conclusa con esito positivo consentendo di procedere ora con il conseguente iter edilizio finalizzato a dare caratteristiche di stabilità al sito produttivo e consentire incrementi volumetrici tramite prossime edificazioni nei singoli lotti (IT1/IT2) di competenza.</w:t>
      </w:r>
    </w:p>
    <w:p w14:paraId="0DCCCCAB" w14:textId="77777777" w:rsidR="00302FC9" w:rsidRDefault="00302FC9" w:rsidP="00302FC9">
      <w:r>
        <w:t>Conditio sine qua non per le prossime richiamate edificazioni è stata la realizzazione delle opere di urbanizzazione primaria a scomputo che Sitalfa, di concerto con Acsel S.p.A. in qualità di altra società proponente dell’iniziativa urbanistica nella zona di riferimento, ha realizzato.</w:t>
      </w:r>
    </w:p>
    <w:p w14:paraId="04D4870E" w14:textId="77777777" w:rsidR="00302FC9" w:rsidRDefault="00302FC9" w:rsidP="00302FC9">
      <w:r>
        <w:t>Dette opere di urbanizzazione, che hanno visto Sitalfa impegnata oltrechè come soggetto proponente l’iniziativa anche come impresa esecutrice, si sono concluse recentemente ed attualmente sono in fase di collaudo tecnico-amministrativo.</w:t>
      </w:r>
    </w:p>
    <w:p w14:paraId="684DC9C6" w14:textId="77777777" w:rsidR="00302FC9" w:rsidRDefault="00302FC9" w:rsidP="00302FC9">
      <w:r>
        <w:t>Esaurita questa attività si entrerà, nelle prossime settimane, nella fase conclusiva relativa al lotto IT1 con la definizione del titolo autorizzativo, ovvero del permesso di costruire convenzionato rilasciato dal Comune di Bruzolo territorialmente competente che ha già effettuato tutte le attività istruttorio/deliberative.</w:t>
      </w:r>
    </w:p>
    <w:p w14:paraId="0B4298C9" w14:textId="77777777" w:rsidR="00302FC9" w:rsidRDefault="00302FC9" w:rsidP="00302FC9">
      <w:r>
        <w:t xml:space="preserve">La firma della convenzione porterà al rilascio del predetto permesso di costruire relativo al citato comparto IT1 che consentirà, come detto, di </w:t>
      </w:r>
      <w:r>
        <w:lastRenderedPageBreak/>
        <w:t>stabilizzare ed implementare la sede legale ed operativa societaria, assetto logistico- operativo che verrà completato con la definizione anche dell’ulteriore e limitrofo comparto edilizio (IT2) nella disponibilità societaria in virtù di concessione amministrativa.</w:t>
      </w:r>
    </w:p>
    <w:p w14:paraId="14EC010F" w14:textId="77777777" w:rsidR="00302FC9" w:rsidRDefault="00302FC9" w:rsidP="00302FC9">
      <w:r>
        <w:t xml:space="preserve"> </w:t>
      </w:r>
    </w:p>
    <w:p w14:paraId="2DE949BD" w14:textId="16CC7D40" w:rsidR="00DC009D" w:rsidRPr="00162E69" w:rsidRDefault="00DC009D" w:rsidP="00DC009D">
      <w:pPr>
        <w:rPr>
          <w:szCs w:val="24"/>
        </w:rPr>
      </w:pPr>
      <w:r w:rsidRPr="00162E69">
        <w:rPr>
          <w:szCs w:val="24"/>
        </w:rPr>
        <w:t xml:space="preserve"> </w:t>
      </w:r>
    </w:p>
    <w:p w14:paraId="646DB119" w14:textId="77777777" w:rsidR="00F1204A" w:rsidRPr="00F1204A" w:rsidRDefault="00F1204A" w:rsidP="00F1204A">
      <w:pPr>
        <w:pStyle w:val="BodyText21"/>
        <w:keepNext w:val="0"/>
        <w:ind w:firstLine="0"/>
        <w:rPr>
          <w:b/>
          <w:smallCaps/>
          <w:szCs w:val="24"/>
        </w:rPr>
      </w:pPr>
      <w:r w:rsidRPr="00F1204A">
        <w:rPr>
          <w:b/>
          <w:smallCaps/>
          <w:szCs w:val="24"/>
        </w:rPr>
        <w:t>Esposizione ai rischi di prezzo, di credito, di liquidità e di variazione dei flussi finanziari</w:t>
      </w:r>
    </w:p>
    <w:p w14:paraId="5F2FEC23" w14:textId="77777777" w:rsidR="00F1204A" w:rsidRPr="00F1204A" w:rsidRDefault="00F1204A" w:rsidP="00F1204A">
      <w:pPr>
        <w:pStyle w:val="Corpotesto"/>
        <w:tabs>
          <w:tab w:val="clear" w:pos="0"/>
          <w:tab w:val="left" w:pos="709"/>
        </w:tabs>
        <w:overflowPunct w:val="0"/>
      </w:pPr>
      <w:r w:rsidRPr="00F1204A">
        <w:t>Con riguardo alle informazioni richieste dal comma 6 bis dell’articolo 2428 codice civile si precisa quanto segue:</w:t>
      </w:r>
    </w:p>
    <w:p w14:paraId="4C82F5AC" w14:textId="77777777" w:rsidR="00F1204A" w:rsidRPr="00F1204A" w:rsidRDefault="00F1204A" w:rsidP="00F1204A">
      <w:pPr>
        <w:pStyle w:val="Corpotesto"/>
        <w:numPr>
          <w:ilvl w:val="0"/>
          <w:numId w:val="4"/>
        </w:numPr>
        <w:tabs>
          <w:tab w:val="clear" w:pos="0"/>
          <w:tab w:val="left" w:pos="284"/>
        </w:tabs>
        <w:overflowPunct w:val="0"/>
        <w:ind w:left="284" w:hanging="284"/>
      </w:pPr>
      <w:r w:rsidRPr="00F1204A">
        <w:t>la società non ha fatto ricorso all’utilizzo di strumenti finanziari;</w:t>
      </w:r>
    </w:p>
    <w:p w14:paraId="5717A418" w14:textId="77777777" w:rsidR="00F1204A" w:rsidRPr="00F1204A" w:rsidRDefault="00F1204A" w:rsidP="00F1204A">
      <w:pPr>
        <w:pStyle w:val="Corpotesto"/>
        <w:numPr>
          <w:ilvl w:val="0"/>
          <w:numId w:val="4"/>
        </w:numPr>
        <w:tabs>
          <w:tab w:val="clear" w:pos="0"/>
          <w:tab w:val="left" w:pos="284"/>
        </w:tabs>
        <w:overflowPunct w:val="0"/>
        <w:ind w:left="284" w:hanging="284"/>
      </w:pPr>
      <w:r w:rsidRPr="00F1204A">
        <w:t>la tipologia di produzioni e lavorazioni realizzate dalla società esclude ragionevolmente l’esistenza di significativi rischi di oscillazione dei prezzi di vendita in relazione alla correlativa struttura dei costi;</w:t>
      </w:r>
    </w:p>
    <w:p w14:paraId="40FF1A0A" w14:textId="77777777" w:rsidR="00F1204A" w:rsidRPr="00F1204A" w:rsidRDefault="00F1204A" w:rsidP="00F1204A">
      <w:pPr>
        <w:pStyle w:val="Corpotesto"/>
        <w:numPr>
          <w:ilvl w:val="0"/>
          <w:numId w:val="4"/>
        </w:numPr>
        <w:tabs>
          <w:tab w:val="clear" w:pos="0"/>
          <w:tab w:val="left" w:pos="284"/>
        </w:tabs>
        <w:overflowPunct w:val="0"/>
        <w:ind w:left="284" w:hanging="284"/>
      </w:pPr>
      <w:r w:rsidRPr="00F1204A">
        <w:t>con riguardo al rischio di liquidità e al rischio di variazione dei flussi finanziari, la società può avvalersi di finanziamenti fruttiferi di interessi a breve termine, erogati dagli Istituti bancari.</w:t>
      </w:r>
    </w:p>
    <w:p w14:paraId="1AE909CB" w14:textId="77777777" w:rsidR="002E643C" w:rsidRPr="00162E69" w:rsidRDefault="007A19A9">
      <w:pPr>
        <w:pStyle w:val="BodyText21"/>
        <w:keepNext w:val="0"/>
        <w:ind w:firstLine="0"/>
        <w:rPr>
          <w:b/>
          <w:smallCaps/>
          <w:szCs w:val="24"/>
        </w:rPr>
      </w:pPr>
      <w:r w:rsidRPr="00162E69">
        <w:rPr>
          <w:b/>
          <w:smallCaps/>
          <w:szCs w:val="24"/>
        </w:rPr>
        <w:t>Sedi secondarie</w:t>
      </w:r>
    </w:p>
    <w:p w14:paraId="79297B5F" w14:textId="77777777" w:rsidR="002E643C" w:rsidRPr="00162E69" w:rsidRDefault="00E10854">
      <w:pPr>
        <w:pStyle w:val="Corpotesto"/>
        <w:tabs>
          <w:tab w:val="clear" w:pos="0"/>
          <w:tab w:val="left" w:pos="284"/>
        </w:tabs>
        <w:overflowPunct w:val="0"/>
        <w:rPr>
          <w:szCs w:val="24"/>
        </w:rPr>
      </w:pPr>
      <w:r w:rsidRPr="00162E69">
        <w:rPr>
          <w:szCs w:val="24"/>
        </w:rPr>
        <w:t xml:space="preserve">La Società opera mediante la sede secondaria sita in </w:t>
      </w:r>
      <w:r w:rsidR="009707C4" w:rsidRPr="00162E69">
        <w:rPr>
          <w:szCs w:val="24"/>
        </w:rPr>
        <w:t xml:space="preserve">Salbertrand </w:t>
      </w:r>
      <w:r w:rsidRPr="00162E69">
        <w:rPr>
          <w:szCs w:val="24"/>
        </w:rPr>
        <w:t>(TO), Regione Rio Secco snc.</w:t>
      </w:r>
    </w:p>
    <w:p w14:paraId="476EE86B" w14:textId="77777777" w:rsidR="002E643C" w:rsidRPr="00162E69" w:rsidRDefault="007A19A9">
      <w:pPr>
        <w:pStyle w:val="BodyText21"/>
        <w:keepNext w:val="0"/>
        <w:ind w:firstLine="0"/>
        <w:rPr>
          <w:b/>
          <w:smallCaps/>
          <w:szCs w:val="24"/>
        </w:rPr>
      </w:pPr>
      <w:r w:rsidRPr="00162E69">
        <w:rPr>
          <w:b/>
          <w:smallCaps/>
          <w:szCs w:val="24"/>
        </w:rPr>
        <w:t>D. Lgs. 231/2001</w:t>
      </w:r>
    </w:p>
    <w:p w14:paraId="04D722EC" w14:textId="77777777" w:rsidR="002E54C6" w:rsidRPr="00162E69" w:rsidRDefault="002E54C6" w:rsidP="002E54C6">
      <w:pPr>
        <w:widowControl/>
        <w:suppressAutoHyphens w:val="0"/>
        <w:overflowPunct/>
        <w:autoSpaceDE/>
        <w:autoSpaceDN/>
        <w:textAlignment w:val="auto"/>
        <w:rPr>
          <w:szCs w:val="24"/>
        </w:rPr>
      </w:pPr>
      <w:r w:rsidRPr="00162E69">
        <w:rPr>
          <w:szCs w:val="24"/>
        </w:rPr>
        <w:t>In ottemperanza al disposto del Decreto Legislativo n. 231/2001 la Società ha adottato ed attuato il Modello di organizzazione, gestione e controllo idoneo a prevenire la commissione dei reati posti in tutela da tale norma.</w:t>
      </w:r>
    </w:p>
    <w:p w14:paraId="4C63673D" w14:textId="77777777" w:rsidR="00273486" w:rsidRPr="00162E69" w:rsidRDefault="00273486" w:rsidP="002E54C6">
      <w:pPr>
        <w:widowControl/>
        <w:suppressAutoHyphens w:val="0"/>
        <w:overflowPunct/>
        <w:autoSpaceDE/>
        <w:autoSpaceDN/>
        <w:textAlignment w:val="auto"/>
        <w:rPr>
          <w:szCs w:val="24"/>
        </w:rPr>
      </w:pPr>
      <w:r w:rsidRPr="00162E69">
        <w:rPr>
          <w:szCs w:val="24"/>
        </w:rPr>
        <w:lastRenderedPageBreak/>
        <w:t>Nel corso del 2021 si è provveduto ad un aggiornamento del MOG per assicurarne la piena coerenza con le ultime evoluzioni della norma e per allinearlo con il Codice Etico e le policy del Gruppo ASTM,  recentemente adottate dalla società.</w:t>
      </w:r>
    </w:p>
    <w:p w14:paraId="1C7C6F25" w14:textId="77777777" w:rsidR="002E54C6" w:rsidRPr="00162E69" w:rsidRDefault="002E54C6" w:rsidP="002E54C6">
      <w:pPr>
        <w:pStyle w:val="Corpotesto"/>
        <w:tabs>
          <w:tab w:val="clear" w:pos="0"/>
          <w:tab w:val="left" w:pos="709"/>
        </w:tabs>
        <w:overflowPunct w:val="0"/>
        <w:rPr>
          <w:szCs w:val="24"/>
        </w:rPr>
      </w:pPr>
      <w:r w:rsidRPr="00162E69">
        <w:rPr>
          <w:szCs w:val="24"/>
        </w:rPr>
        <w:t>Tale Modello si dimostra utile strumento ai fini della valutazione del sistema dei rischi aziendali, nonché per l’assunzione di dati utili per conseguire l’ottimizzazione dei cicli produttivi, consentendo nel contempo alla Società di strutturarsi ai fini della non imputabilità ai sensi del D. lgs. in oggetto.</w:t>
      </w:r>
    </w:p>
    <w:p w14:paraId="6CC0AC11" w14:textId="77777777" w:rsidR="002E54C6" w:rsidRPr="00162E69" w:rsidRDefault="002E54C6" w:rsidP="002E54C6">
      <w:pPr>
        <w:suppressAutoHyphens w:val="0"/>
        <w:overflowPunct/>
        <w:autoSpaceDE/>
        <w:autoSpaceDN/>
        <w:textAlignment w:val="auto"/>
        <w:rPr>
          <w:szCs w:val="24"/>
        </w:rPr>
      </w:pPr>
      <w:r w:rsidRPr="00162E69">
        <w:rPr>
          <w:szCs w:val="24"/>
        </w:rPr>
        <w:t xml:space="preserve">L'Organismo di Vigilanza nominato dal Consiglio di Amministrazione della Società, quale organo deputato al controllo sul funzionamento ed osservanza di tale Modello, svolge l’attività operativa di propria competenza curando le attività di verifica sulle aree aziendali a rischio di commissione dei reati oggetto delle fattispecie previste dal decreto. </w:t>
      </w:r>
    </w:p>
    <w:p w14:paraId="3695E8E9" w14:textId="77777777" w:rsidR="002E54C6" w:rsidRPr="00162E69" w:rsidRDefault="002E54C6" w:rsidP="002E54C6">
      <w:pPr>
        <w:suppressAutoHyphens w:val="0"/>
        <w:overflowPunct/>
        <w:autoSpaceDE/>
        <w:autoSpaceDN/>
        <w:textAlignment w:val="auto"/>
        <w:rPr>
          <w:szCs w:val="24"/>
        </w:rPr>
      </w:pPr>
      <w:r w:rsidRPr="00162E69">
        <w:rPr>
          <w:szCs w:val="24"/>
        </w:rPr>
        <w:t xml:space="preserve">Nel corso del </w:t>
      </w:r>
      <w:r w:rsidR="00273486" w:rsidRPr="00162E69">
        <w:rPr>
          <w:szCs w:val="24"/>
        </w:rPr>
        <w:t>2021</w:t>
      </w:r>
      <w:r w:rsidRPr="00162E69">
        <w:rPr>
          <w:rFonts w:eastAsia="Calibri"/>
          <w:i/>
          <w:iCs/>
          <w:szCs w:val="24"/>
        </w:rPr>
        <w:t xml:space="preserve">, </w:t>
      </w:r>
      <w:r w:rsidRPr="00162E69">
        <w:rPr>
          <w:rFonts w:eastAsia="Calibri"/>
          <w:iCs/>
          <w:szCs w:val="24"/>
        </w:rPr>
        <w:t xml:space="preserve">l’Organismo di Vigilanza ha svolto una azione di stimolo e di verifica, sugli adempimenti in materia di sicurezza e </w:t>
      </w:r>
      <w:r w:rsidRPr="00162E69">
        <w:rPr>
          <w:szCs w:val="24"/>
        </w:rPr>
        <w:t>in materia ambientale.</w:t>
      </w:r>
    </w:p>
    <w:p w14:paraId="3014F94E" w14:textId="77777777" w:rsidR="002E54C6" w:rsidRPr="00162E69" w:rsidRDefault="002E54C6" w:rsidP="002E54C6">
      <w:pPr>
        <w:rPr>
          <w:szCs w:val="24"/>
        </w:rPr>
      </w:pPr>
      <w:r w:rsidRPr="00162E69">
        <w:rPr>
          <w:szCs w:val="24"/>
        </w:rPr>
        <w:t>Con cadenza trimestrale l’organismo 231 ha proceduto alla disamina dei flussi informativi verificando i documenti allegati quali giustificativi a corredo della dimostrazione della corretta applicazione dei vigenti Protocolli 231.</w:t>
      </w:r>
    </w:p>
    <w:p w14:paraId="2FACE3D4" w14:textId="77777777" w:rsidR="002E643C" w:rsidRPr="00162E69" w:rsidRDefault="002E54C6" w:rsidP="00A20524">
      <w:pPr>
        <w:suppressAutoHyphens w:val="0"/>
        <w:overflowPunct/>
        <w:autoSpaceDE/>
        <w:autoSpaceDN/>
        <w:textAlignment w:val="auto"/>
        <w:rPr>
          <w:szCs w:val="24"/>
          <w:highlight w:val="yellow"/>
        </w:rPr>
      </w:pPr>
      <w:r w:rsidRPr="00162E69">
        <w:rPr>
          <w:szCs w:val="24"/>
        </w:rPr>
        <w:t>Tali attività di verifica hanno consentito accertare che la documentazione trasmessa all’Organismo di Vigilanza fosse completa ed esaustiva e anche le successive verifiche ed approfondimenti, previa visione dei pertinenti fascicoli, non ha condotto a segnalazioni di anomalie e/o rilevazioni di criticità in merito ai Protocolli vigenti</w:t>
      </w:r>
      <w:r w:rsidR="0071233B" w:rsidRPr="00162E69">
        <w:rPr>
          <w:szCs w:val="24"/>
        </w:rPr>
        <w:t>.</w:t>
      </w:r>
      <w:r w:rsidR="00F2190A" w:rsidRPr="00162E69">
        <w:rPr>
          <w:szCs w:val="24"/>
        </w:rPr>
        <w:t xml:space="preserve"> </w:t>
      </w:r>
    </w:p>
    <w:p w14:paraId="16AD023A" w14:textId="77777777" w:rsidR="00D2778D" w:rsidRPr="00162E69" w:rsidRDefault="007A19A9" w:rsidP="00A20524">
      <w:pPr>
        <w:pStyle w:val="Corpodeltesto2"/>
        <w:keepNext w:val="0"/>
        <w:pBdr>
          <w:top w:val="none" w:sz="0" w:space="0" w:color="auto"/>
          <w:left w:val="none" w:sz="0" w:space="0" w:color="auto"/>
          <w:bottom w:val="none" w:sz="0" w:space="0" w:color="auto"/>
          <w:right w:val="none" w:sz="0" w:space="0" w:color="auto"/>
        </w:pBdr>
        <w:rPr>
          <w:b w:val="0"/>
          <w:bCs w:val="0"/>
          <w:smallCaps w:val="0"/>
          <w:szCs w:val="24"/>
        </w:rPr>
      </w:pPr>
      <w:r w:rsidRPr="00162E69">
        <w:rPr>
          <w:b w:val="0"/>
          <w:bCs w:val="0"/>
          <w:smallCaps w:val="0"/>
          <w:szCs w:val="24"/>
        </w:rPr>
        <w:t xml:space="preserve">Bruzolo, </w:t>
      </w:r>
      <w:r w:rsidR="00485C16" w:rsidRPr="00162E69">
        <w:rPr>
          <w:b w:val="0"/>
          <w:bCs w:val="0"/>
          <w:smallCaps w:val="0"/>
          <w:szCs w:val="24"/>
        </w:rPr>
        <w:t xml:space="preserve">3 </w:t>
      </w:r>
      <w:r w:rsidR="00B50DFF" w:rsidRPr="00162E69">
        <w:rPr>
          <w:b w:val="0"/>
          <w:bCs w:val="0"/>
          <w:smallCaps w:val="0"/>
          <w:szCs w:val="24"/>
        </w:rPr>
        <w:t>Marzo</w:t>
      </w:r>
      <w:r w:rsidRPr="00162E69">
        <w:rPr>
          <w:b w:val="0"/>
          <w:bCs w:val="0"/>
          <w:smallCaps w:val="0"/>
          <w:szCs w:val="24"/>
        </w:rPr>
        <w:t xml:space="preserve"> </w:t>
      </w:r>
      <w:r w:rsidR="00485C16" w:rsidRPr="00162E69">
        <w:rPr>
          <w:b w:val="0"/>
          <w:bCs w:val="0"/>
          <w:smallCaps w:val="0"/>
          <w:szCs w:val="24"/>
        </w:rPr>
        <w:t>2022</w:t>
      </w:r>
    </w:p>
    <w:p w14:paraId="063B261E" w14:textId="77777777" w:rsidR="002E643C" w:rsidRPr="00162E69" w:rsidRDefault="007A19A9" w:rsidP="00961245">
      <w:pPr>
        <w:ind w:left="1"/>
        <w:jc w:val="center"/>
        <w:rPr>
          <w:szCs w:val="24"/>
        </w:rPr>
      </w:pPr>
      <w:r w:rsidRPr="00162E69">
        <w:rPr>
          <w:szCs w:val="24"/>
        </w:rPr>
        <w:lastRenderedPageBreak/>
        <w:t xml:space="preserve">                                     p. IL CONSIGLIO DI AMMINISTRAZIONE</w:t>
      </w:r>
    </w:p>
    <w:p w14:paraId="26320579" w14:textId="77777777" w:rsidR="002E643C" w:rsidRPr="00162E69" w:rsidRDefault="007A19A9">
      <w:pPr>
        <w:ind w:left="1"/>
        <w:jc w:val="center"/>
        <w:rPr>
          <w:szCs w:val="24"/>
        </w:rPr>
      </w:pPr>
      <w:r w:rsidRPr="00162E69">
        <w:rPr>
          <w:szCs w:val="24"/>
        </w:rPr>
        <w:t xml:space="preserve">                                    IL PRESIDENTE</w:t>
      </w:r>
    </w:p>
    <w:p w14:paraId="6808ABC0" w14:textId="77777777" w:rsidR="002E643C" w:rsidRPr="00162E69" w:rsidRDefault="007A19A9">
      <w:pPr>
        <w:ind w:left="1"/>
        <w:jc w:val="center"/>
        <w:rPr>
          <w:szCs w:val="24"/>
        </w:rPr>
      </w:pPr>
      <w:r w:rsidRPr="00162E69">
        <w:rPr>
          <w:szCs w:val="24"/>
        </w:rPr>
        <w:t xml:space="preserve">                                   (dott. </w:t>
      </w:r>
      <w:r w:rsidR="00777B35" w:rsidRPr="00162E69">
        <w:rPr>
          <w:szCs w:val="24"/>
        </w:rPr>
        <w:t>Sebastiano GALLINA</w:t>
      </w:r>
      <w:r w:rsidRPr="00162E69">
        <w:rPr>
          <w:szCs w:val="24"/>
        </w:rPr>
        <w:t>)</w:t>
      </w:r>
    </w:p>
    <w:sectPr w:rsidR="002E643C" w:rsidRPr="00162E69" w:rsidSect="005C7D76">
      <w:footerReference w:type="default" r:id="rId8"/>
      <w:pgSz w:w="11906" w:h="16838"/>
      <w:pgMar w:top="2155" w:right="2975" w:bottom="2041" w:left="158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DC313" w14:textId="77777777" w:rsidR="00D8081B" w:rsidRDefault="00D8081B" w:rsidP="002E643C">
      <w:pPr>
        <w:spacing w:line="240" w:lineRule="auto"/>
      </w:pPr>
      <w:r>
        <w:separator/>
      </w:r>
    </w:p>
  </w:endnote>
  <w:endnote w:type="continuationSeparator" w:id="0">
    <w:p w14:paraId="65998906" w14:textId="77777777" w:rsidR="00D8081B" w:rsidRDefault="00D8081B" w:rsidP="002E64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lfaen">
    <w:panose1 w:val="010A0502050306030303"/>
    <w:charset w:val="00"/>
    <w:family w:val="roman"/>
    <w:pitch w:val="variable"/>
    <w:sig w:usb0="04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5E55E" w14:textId="77777777" w:rsidR="002D457C" w:rsidRPr="00C47039" w:rsidRDefault="002D457C">
    <w:pPr>
      <w:pStyle w:val="Pidipagina"/>
      <w:jc w:val="center"/>
      <w:rPr>
        <w:sz w:val="14"/>
        <w:szCs w:val="14"/>
      </w:rPr>
    </w:pPr>
    <w:r>
      <w:rPr>
        <w:noProof/>
      </w:rPr>
      <mc:AlternateContent>
        <mc:Choice Requires="wps">
          <w:drawing>
            <wp:anchor distT="0" distB="0" distL="114300" distR="114300" simplePos="0" relativeHeight="251657728" behindDoc="0" locked="0" layoutInCell="1" allowOverlap="1" wp14:anchorId="518DF787" wp14:editId="4E5DD367">
              <wp:simplePos x="0" y="0"/>
              <wp:positionH relativeFrom="page">
                <wp:posOffset>1014095</wp:posOffset>
              </wp:positionH>
              <wp:positionV relativeFrom="paragraph">
                <wp:posOffset>57150</wp:posOffset>
              </wp:positionV>
              <wp:extent cx="4607560" cy="302260"/>
              <wp:effectExtent l="4445" t="0" r="0" b="254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075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83FCB3" w14:textId="77777777" w:rsidR="002D457C" w:rsidRPr="00C47039" w:rsidRDefault="002D457C" w:rsidP="00C47039">
                          <w:pPr>
                            <w:pStyle w:val="Pidipagina"/>
                            <w:tabs>
                              <w:tab w:val="clear" w:pos="4819"/>
                              <w:tab w:val="center" w:pos="6237"/>
                            </w:tabs>
                            <w:ind w:right="26"/>
                            <w:rPr>
                              <w:sz w:val="14"/>
                            </w:rPr>
                          </w:pPr>
                          <w:r>
                            <w:rPr>
                              <w:sz w:val="14"/>
                            </w:rPr>
                            <w:t>SITALFA S.p.A.</w:t>
                          </w:r>
                          <w:r>
                            <w:rPr>
                              <w:sz w:val="14"/>
                            </w:rPr>
                            <w:tab/>
                            <w:t>Relazione sulla gestione 31.12.2021</w:t>
                          </w:r>
                        </w:p>
                      </w:txbxContent>
                    </wps:txbx>
                    <wps:bodyPr rot="0" vert="horz" wrap="none" lIns="0" tIns="0" rIns="0" bIns="0" anchor="t" anchorCtr="0">
                      <a:spAutoFit/>
                    </wps:bodyPr>
                  </wps:wsp>
                </a:graphicData>
              </a:graphic>
              <wp14:sizeRelH relativeFrom="page">
                <wp14:pctWidth>0</wp14:pctWidth>
              </wp14:sizeRelH>
              <wp14:sizeRelV relativeFrom="page">
                <wp14:pctHeight>0</wp14:pctHeight>
              </wp14:sizeRelV>
            </wp:anchor>
          </w:drawing>
        </mc:Choice>
        <mc:Fallback>
          <w:pict>
            <v:shapetype w14:anchorId="518DF787" id="_x0000_t202" coordsize="21600,21600" o:spt="202" path="m,l,21600r21600,l21600,xe">
              <v:stroke joinstyle="miter"/>
              <v:path gradientshapeok="t" o:connecttype="rect"/>
            </v:shapetype>
            <v:shape id="Text Box 3" o:spid="_x0000_s1026" type="#_x0000_t202" style="position:absolute;left:0;text-align:left;margin-left:79.85pt;margin-top:4.5pt;width:362.8pt;height:23.8pt;z-index:251657728;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ISazQEAAIMDAAAOAAAAZHJzL2Uyb0RvYy54bWysU9tu2zAMfR/QfxD03thJu2ww4hRdiwwD&#10;ugvQ9QNkWY6NWaJAqrGzrx8lx+m2vg17EWhSOjznkN7cjLYXB4PUgSvlcpFLYZyGunP7Uj59312+&#10;l4KCcrXqwZlSHg3Jm+3Fm83gC7OCFvraoGAQR8XgS9mG4IssI90aq2gB3jguNoBWBf7EfVajGhjd&#10;9tkqz9fZAFh7BG2IOHs/FeU24TeN0eFr05AJoi8lcwvpxHRW8cy2G1XsUfm20yca6h9YWNU5bnqG&#10;uldBiWfsXkHZTiMQNGGhwWbQNJ02SQOrWeZ/qXlslTdJC5tD/mwT/T9Y/eXw6L+hCOMHGHmASQT5&#10;B9A/SDi4a5Xbm1tEGFqjam68jJZlg6fi9DRaTQVFkGr4DDUPWT0HSEBjgza6wjoFo/MAjmfTzRiE&#10;5uT1On/3ds0lzbWrfLXiOLZQxfzaI4WPBqyIQSmRh5rQ1eGBwnR1vhKbOdh1fZ8G27s/EowZM4l9&#10;JDxRD2M18u2oooL6yDoQpj3hveagBfwpxcA7UkrHSyxF/8mxE3Gd5gDnoJoD5TQ/LGWQYgrvQlq7&#10;SIj8LTu06xL5l74nZjzpJP+0lXGVfv9Ot17+ne0vAAAA//8DAFBLAwQUAAYACAAAACEAlQDLatsA&#10;AAAIAQAADwAAAGRycy9kb3ducmV2LnhtbEyPwU7DMBBE70j8g7VI3KhTUNI0xKlQJS7cKAiJmxtv&#10;46j2OordNPl7lhMcRzOaeVPvZu/EhGPsAylYrzIQSG0wPXUKPj9eH0oQMWky2gVCBQtG2DW3N7Wu&#10;TLjSO06H1AkuoVhpBTaloZIytha9jqswILF3CqPXieXYSTPqK5d7Jx+zrJBe98QLVg+4t9ieDxev&#10;YDN/BRwi7vH7NLWj7ZfSvS1K3d/NL88gEs7pLwy/+IwODTMdw4VMFI51vt1wVMGWL7FflvkTiKOC&#10;vChANrX8f6D5AQAA//8DAFBLAQItABQABgAIAAAAIQC2gziS/gAAAOEBAAATAAAAAAAAAAAAAAAA&#10;AAAAAABbQ29udGVudF9UeXBlc10ueG1sUEsBAi0AFAAGAAgAAAAhADj9If/WAAAAlAEAAAsAAAAA&#10;AAAAAAAAAAAALwEAAF9yZWxzLy5yZWxzUEsBAi0AFAAGAAgAAAAhAJFohJrNAQAAgwMAAA4AAAAA&#10;AAAAAAAAAAAALgIAAGRycy9lMm9Eb2MueG1sUEsBAi0AFAAGAAgAAAAhAJUAy2rbAAAACAEAAA8A&#10;AAAAAAAAAAAAAAAAJwQAAGRycy9kb3ducmV2LnhtbFBLBQYAAAAABAAEAPMAAAAvBQAAAAA=&#10;" filled="f" stroked="f">
              <v:textbox style="mso-fit-shape-to-text:t" inset="0,0,0,0">
                <w:txbxContent>
                  <w:p w14:paraId="0083FCB3" w14:textId="77777777" w:rsidR="002D457C" w:rsidRPr="00C47039" w:rsidRDefault="002D457C" w:rsidP="00C47039">
                    <w:pPr>
                      <w:pStyle w:val="Pidipagina"/>
                      <w:tabs>
                        <w:tab w:val="clear" w:pos="4819"/>
                        <w:tab w:val="center" w:pos="6237"/>
                      </w:tabs>
                      <w:ind w:right="26"/>
                      <w:rPr>
                        <w:sz w:val="14"/>
                      </w:rPr>
                    </w:pPr>
                    <w:r>
                      <w:rPr>
                        <w:sz w:val="14"/>
                      </w:rPr>
                      <w:t>SITALFA S.p.A.</w:t>
                    </w:r>
                    <w:r>
                      <w:rPr>
                        <w:sz w:val="14"/>
                      </w:rPr>
                      <w:tab/>
                      <w:t>Relazione sulla gestione 31.12.2021</w:t>
                    </w:r>
                  </w:p>
                </w:txbxContent>
              </v:textbox>
              <w10:wrap type="square" anchorx="page"/>
            </v:shape>
          </w:pict>
        </mc:Fallback>
      </mc:AlternateContent>
    </w:r>
    <w:r w:rsidRPr="00C47039">
      <w:rPr>
        <w:sz w:val="14"/>
        <w:szCs w:val="14"/>
      </w:rPr>
      <w:fldChar w:fldCharType="begin"/>
    </w:r>
    <w:r w:rsidRPr="00C47039">
      <w:rPr>
        <w:sz w:val="14"/>
        <w:szCs w:val="14"/>
      </w:rPr>
      <w:instrText>PAGE   \* MERGEFORMAT</w:instrText>
    </w:r>
    <w:r w:rsidRPr="00C47039">
      <w:rPr>
        <w:sz w:val="14"/>
        <w:szCs w:val="14"/>
      </w:rPr>
      <w:fldChar w:fldCharType="separate"/>
    </w:r>
    <w:r w:rsidR="00DE2E9C">
      <w:rPr>
        <w:noProof/>
        <w:sz w:val="14"/>
        <w:szCs w:val="14"/>
      </w:rPr>
      <w:t>1</w:t>
    </w:r>
    <w:r w:rsidRPr="00C47039">
      <w:rPr>
        <w:sz w:val="14"/>
        <w:szCs w:val="14"/>
      </w:rPr>
      <w:fldChar w:fldCharType="end"/>
    </w:r>
  </w:p>
  <w:p w14:paraId="591D209D" w14:textId="77777777" w:rsidR="002D457C" w:rsidRDefault="002D457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6C921" w14:textId="77777777" w:rsidR="00D8081B" w:rsidRDefault="00D8081B" w:rsidP="002E643C">
      <w:pPr>
        <w:spacing w:line="240" w:lineRule="auto"/>
      </w:pPr>
      <w:r w:rsidRPr="002E643C">
        <w:rPr>
          <w:color w:val="000000"/>
        </w:rPr>
        <w:separator/>
      </w:r>
    </w:p>
  </w:footnote>
  <w:footnote w:type="continuationSeparator" w:id="0">
    <w:p w14:paraId="2FEC81CA" w14:textId="77777777" w:rsidR="00D8081B" w:rsidRDefault="00D8081B" w:rsidP="002E643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812F3"/>
    <w:multiLevelType w:val="hybridMultilevel"/>
    <w:tmpl w:val="3CBA1CC0"/>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 w15:restartNumberingAfterBreak="0">
    <w:nsid w:val="166F56D4"/>
    <w:multiLevelType w:val="multilevel"/>
    <w:tmpl w:val="96C6922E"/>
    <w:styleLink w:val="LFO25"/>
    <w:lvl w:ilvl="0">
      <w:start w:val="1"/>
      <w:numFmt w:val="decimal"/>
      <w:lvlText w:val="%1."/>
      <w:lvlJc w:val="left"/>
      <w:pPr>
        <w:ind w:left="1713" w:hanging="360"/>
      </w:p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2" w15:restartNumberingAfterBreak="0">
    <w:nsid w:val="1BDC0852"/>
    <w:multiLevelType w:val="multilevel"/>
    <w:tmpl w:val="CFCA2EF2"/>
    <w:lvl w:ilvl="0">
      <w:numFmt w:val="bullet"/>
      <w:lvlText w:val="-"/>
      <w:lvlJc w:val="left"/>
      <w:pPr>
        <w:ind w:left="2420" w:hanging="360"/>
      </w:pPr>
      <w:rPr>
        <w:rFonts w:ascii="Sylfaen" w:hAnsi="Sylfae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23106179"/>
    <w:multiLevelType w:val="hybridMultilevel"/>
    <w:tmpl w:val="FADA0712"/>
    <w:lvl w:ilvl="0" w:tplc="A0DCCA82">
      <w:start w:val="1"/>
      <w:numFmt w:val="decimal"/>
      <w:lvlText w:val="%1."/>
      <w:lvlJc w:val="left"/>
      <w:pPr>
        <w:ind w:left="928" w:hanging="360"/>
      </w:pPr>
      <w:rPr>
        <w:rFonts w:ascii="Times New Roman" w:eastAsia="Times New Roman" w:hAnsi="Times New Roman" w:cs="Times New Roman"/>
      </w:rPr>
    </w:lvl>
    <w:lvl w:ilvl="1" w:tplc="04100003">
      <w:start w:val="1"/>
      <w:numFmt w:val="bullet"/>
      <w:lvlText w:val="o"/>
      <w:lvlJc w:val="left"/>
      <w:pPr>
        <w:ind w:left="1648" w:hanging="360"/>
      </w:pPr>
      <w:rPr>
        <w:rFonts w:ascii="Courier New" w:hAnsi="Courier New" w:cs="Courier New" w:hint="default"/>
      </w:rPr>
    </w:lvl>
    <w:lvl w:ilvl="2" w:tplc="04100005">
      <w:start w:val="1"/>
      <w:numFmt w:val="bullet"/>
      <w:lvlText w:val=""/>
      <w:lvlJc w:val="left"/>
      <w:pPr>
        <w:ind w:left="2368" w:hanging="360"/>
      </w:pPr>
      <w:rPr>
        <w:rFonts w:ascii="Wingdings" w:hAnsi="Wingdings" w:hint="default"/>
      </w:rPr>
    </w:lvl>
    <w:lvl w:ilvl="3" w:tplc="04100001">
      <w:start w:val="1"/>
      <w:numFmt w:val="bullet"/>
      <w:lvlText w:val=""/>
      <w:lvlJc w:val="left"/>
      <w:pPr>
        <w:ind w:left="3088" w:hanging="360"/>
      </w:pPr>
      <w:rPr>
        <w:rFonts w:ascii="Symbol" w:hAnsi="Symbol" w:hint="default"/>
      </w:rPr>
    </w:lvl>
    <w:lvl w:ilvl="4" w:tplc="04100003">
      <w:start w:val="1"/>
      <w:numFmt w:val="bullet"/>
      <w:lvlText w:val="o"/>
      <w:lvlJc w:val="left"/>
      <w:pPr>
        <w:ind w:left="3808" w:hanging="360"/>
      </w:pPr>
      <w:rPr>
        <w:rFonts w:ascii="Courier New" w:hAnsi="Courier New" w:cs="Courier New" w:hint="default"/>
      </w:rPr>
    </w:lvl>
    <w:lvl w:ilvl="5" w:tplc="04100005">
      <w:start w:val="1"/>
      <w:numFmt w:val="bullet"/>
      <w:lvlText w:val=""/>
      <w:lvlJc w:val="left"/>
      <w:pPr>
        <w:ind w:left="4528" w:hanging="360"/>
      </w:pPr>
      <w:rPr>
        <w:rFonts w:ascii="Wingdings" w:hAnsi="Wingdings" w:hint="default"/>
      </w:rPr>
    </w:lvl>
    <w:lvl w:ilvl="6" w:tplc="04100001">
      <w:start w:val="1"/>
      <w:numFmt w:val="bullet"/>
      <w:lvlText w:val=""/>
      <w:lvlJc w:val="left"/>
      <w:pPr>
        <w:ind w:left="5248" w:hanging="360"/>
      </w:pPr>
      <w:rPr>
        <w:rFonts w:ascii="Symbol" w:hAnsi="Symbol" w:hint="default"/>
      </w:rPr>
    </w:lvl>
    <w:lvl w:ilvl="7" w:tplc="04100003">
      <w:start w:val="1"/>
      <w:numFmt w:val="bullet"/>
      <w:lvlText w:val="o"/>
      <w:lvlJc w:val="left"/>
      <w:pPr>
        <w:ind w:left="5968" w:hanging="360"/>
      </w:pPr>
      <w:rPr>
        <w:rFonts w:ascii="Courier New" w:hAnsi="Courier New" w:cs="Courier New" w:hint="default"/>
      </w:rPr>
    </w:lvl>
    <w:lvl w:ilvl="8" w:tplc="04100005">
      <w:start w:val="1"/>
      <w:numFmt w:val="bullet"/>
      <w:lvlText w:val=""/>
      <w:lvlJc w:val="left"/>
      <w:pPr>
        <w:ind w:left="6688" w:hanging="360"/>
      </w:pPr>
      <w:rPr>
        <w:rFonts w:ascii="Wingdings" w:hAnsi="Wingdings" w:hint="default"/>
      </w:rPr>
    </w:lvl>
  </w:abstractNum>
  <w:abstractNum w:abstractNumId="4" w15:restartNumberingAfterBreak="0">
    <w:nsid w:val="3D94053F"/>
    <w:multiLevelType w:val="multilevel"/>
    <w:tmpl w:val="D5EC7B8E"/>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5" w15:restartNumberingAfterBreak="0">
    <w:nsid w:val="46A31CB7"/>
    <w:multiLevelType w:val="multilevel"/>
    <w:tmpl w:val="AC52588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4913208C"/>
    <w:multiLevelType w:val="hybridMultilevel"/>
    <w:tmpl w:val="A7B41062"/>
    <w:lvl w:ilvl="0" w:tplc="CB806D3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3B75094"/>
    <w:multiLevelType w:val="hybridMultilevel"/>
    <w:tmpl w:val="1BF621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1911B5A"/>
    <w:multiLevelType w:val="multilevel"/>
    <w:tmpl w:val="17488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A0F61BE"/>
    <w:multiLevelType w:val="hybridMultilevel"/>
    <w:tmpl w:val="0D26DB90"/>
    <w:lvl w:ilvl="0" w:tplc="04100001">
      <w:start w:val="1"/>
      <w:numFmt w:val="bullet"/>
      <w:lvlText w:val=""/>
      <w:lvlJc w:val="left"/>
      <w:pPr>
        <w:ind w:left="1358" w:hanging="360"/>
      </w:pPr>
      <w:rPr>
        <w:rFonts w:ascii="Symbol" w:hAnsi="Symbol" w:hint="default"/>
      </w:rPr>
    </w:lvl>
    <w:lvl w:ilvl="1" w:tplc="04100003" w:tentative="1">
      <w:start w:val="1"/>
      <w:numFmt w:val="bullet"/>
      <w:lvlText w:val="o"/>
      <w:lvlJc w:val="left"/>
      <w:pPr>
        <w:ind w:left="2078" w:hanging="360"/>
      </w:pPr>
      <w:rPr>
        <w:rFonts w:ascii="Courier New" w:hAnsi="Courier New" w:cs="Courier New" w:hint="default"/>
      </w:rPr>
    </w:lvl>
    <w:lvl w:ilvl="2" w:tplc="04100005" w:tentative="1">
      <w:start w:val="1"/>
      <w:numFmt w:val="bullet"/>
      <w:lvlText w:val=""/>
      <w:lvlJc w:val="left"/>
      <w:pPr>
        <w:ind w:left="2798" w:hanging="360"/>
      </w:pPr>
      <w:rPr>
        <w:rFonts w:ascii="Wingdings" w:hAnsi="Wingdings" w:hint="default"/>
      </w:rPr>
    </w:lvl>
    <w:lvl w:ilvl="3" w:tplc="04100001" w:tentative="1">
      <w:start w:val="1"/>
      <w:numFmt w:val="bullet"/>
      <w:lvlText w:val=""/>
      <w:lvlJc w:val="left"/>
      <w:pPr>
        <w:ind w:left="3518" w:hanging="360"/>
      </w:pPr>
      <w:rPr>
        <w:rFonts w:ascii="Symbol" w:hAnsi="Symbol" w:hint="default"/>
      </w:rPr>
    </w:lvl>
    <w:lvl w:ilvl="4" w:tplc="04100003" w:tentative="1">
      <w:start w:val="1"/>
      <w:numFmt w:val="bullet"/>
      <w:lvlText w:val="o"/>
      <w:lvlJc w:val="left"/>
      <w:pPr>
        <w:ind w:left="4238" w:hanging="360"/>
      </w:pPr>
      <w:rPr>
        <w:rFonts w:ascii="Courier New" w:hAnsi="Courier New" w:cs="Courier New" w:hint="default"/>
      </w:rPr>
    </w:lvl>
    <w:lvl w:ilvl="5" w:tplc="04100005" w:tentative="1">
      <w:start w:val="1"/>
      <w:numFmt w:val="bullet"/>
      <w:lvlText w:val=""/>
      <w:lvlJc w:val="left"/>
      <w:pPr>
        <w:ind w:left="4958" w:hanging="360"/>
      </w:pPr>
      <w:rPr>
        <w:rFonts w:ascii="Wingdings" w:hAnsi="Wingdings" w:hint="default"/>
      </w:rPr>
    </w:lvl>
    <w:lvl w:ilvl="6" w:tplc="04100001" w:tentative="1">
      <w:start w:val="1"/>
      <w:numFmt w:val="bullet"/>
      <w:lvlText w:val=""/>
      <w:lvlJc w:val="left"/>
      <w:pPr>
        <w:ind w:left="5678" w:hanging="360"/>
      </w:pPr>
      <w:rPr>
        <w:rFonts w:ascii="Symbol" w:hAnsi="Symbol" w:hint="default"/>
      </w:rPr>
    </w:lvl>
    <w:lvl w:ilvl="7" w:tplc="04100003" w:tentative="1">
      <w:start w:val="1"/>
      <w:numFmt w:val="bullet"/>
      <w:lvlText w:val="o"/>
      <w:lvlJc w:val="left"/>
      <w:pPr>
        <w:ind w:left="6398" w:hanging="360"/>
      </w:pPr>
      <w:rPr>
        <w:rFonts w:ascii="Courier New" w:hAnsi="Courier New" w:cs="Courier New" w:hint="default"/>
      </w:rPr>
    </w:lvl>
    <w:lvl w:ilvl="8" w:tplc="04100005" w:tentative="1">
      <w:start w:val="1"/>
      <w:numFmt w:val="bullet"/>
      <w:lvlText w:val=""/>
      <w:lvlJc w:val="left"/>
      <w:pPr>
        <w:ind w:left="7118" w:hanging="360"/>
      </w:pPr>
      <w:rPr>
        <w:rFonts w:ascii="Wingdings" w:hAnsi="Wingdings" w:hint="default"/>
      </w:rPr>
    </w:lvl>
  </w:abstractNum>
  <w:num w:numId="1">
    <w:abstractNumId w:val="1"/>
  </w:num>
  <w:num w:numId="2">
    <w:abstractNumId w:val="2"/>
  </w:num>
  <w:num w:numId="3">
    <w:abstractNumId w:val="4"/>
  </w:num>
  <w:num w:numId="4">
    <w:abstractNumId w:val="5"/>
  </w:num>
  <w:num w:numId="5">
    <w:abstractNumId w:val="7"/>
  </w:num>
  <w:num w:numId="6">
    <w:abstractNumId w:val="9"/>
  </w:num>
  <w:num w:numId="7">
    <w:abstractNumId w:val="3"/>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GB" w:vendorID="64" w:dllVersion="6" w:nlCheck="1" w:checkStyle="1"/>
  <w:activeWritingStyle w:appName="MSWord" w:lang="it-IT" w:vendorID="64" w:dllVersion="4096" w:nlCheck="1" w:checkStyle="0"/>
  <w:activeWritingStyle w:appName="MSWord" w:lang="en-GB" w:vendorID="64" w:dllVersion="4096" w:nlCheck="1" w:checkStyle="0"/>
  <w:activeWritingStyle w:appName="MSWord" w:lang="it-IT" w:vendorID="64" w:dllVersion="0" w:nlCheck="1" w:checkStyle="0"/>
  <w:activeWritingStyle w:appName="MSWord" w:lang="en-GB" w:vendorID="64" w:dllVersion="0" w:nlCheck="1" w:checkStyle="0"/>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643C"/>
    <w:rsid w:val="000011FD"/>
    <w:rsid w:val="00003AF9"/>
    <w:rsid w:val="00004D40"/>
    <w:rsid w:val="00004F4F"/>
    <w:rsid w:val="00005747"/>
    <w:rsid w:val="00014D4F"/>
    <w:rsid w:val="00020494"/>
    <w:rsid w:val="00020C95"/>
    <w:rsid w:val="00022563"/>
    <w:rsid w:val="00022AFA"/>
    <w:rsid w:val="000241C2"/>
    <w:rsid w:val="00026451"/>
    <w:rsid w:val="000266C3"/>
    <w:rsid w:val="00035CAC"/>
    <w:rsid w:val="00036759"/>
    <w:rsid w:val="00037668"/>
    <w:rsid w:val="00056B40"/>
    <w:rsid w:val="00057880"/>
    <w:rsid w:val="00063F97"/>
    <w:rsid w:val="000649F1"/>
    <w:rsid w:val="00066624"/>
    <w:rsid w:val="00066DC0"/>
    <w:rsid w:val="000704B5"/>
    <w:rsid w:val="000717F8"/>
    <w:rsid w:val="0007754D"/>
    <w:rsid w:val="00077F96"/>
    <w:rsid w:val="000934FC"/>
    <w:rsid w:val="000A1016"/>
    <w:rsid w:val="000A3AFE"/>
    <w:rsid w:val="000A6C7D"/>
    <w:rsid w:val="000B2483"/>
    <w:rsid w:val="000C0ACC"/>
    <w:rsid w:val="000C6114"/>
    <w:rsid w:val="000C7693"/>
    <w:rsid w:val="000D178B"/>
    <w:rsid w:val="000D2C7C"/>
    <w:rsid w:val="000D39D4"/>
    <w:rsid w:val="000D3AA6"/>
    <w:rsid w:val="000E0FCC"/>
    <w:rsid w:val="000E3094"/>
    <w:rsid w:val="000F0C1F"/>
    <w:rsid w:val="000F2C38"/>
    <w:rsid w:val="00103CF5"/>
    <w:rsid w:val="001106E6"/>
    <w:rsid w:val="00112DC8"/>
    <w:rsid w:val="00112E43"/>
    <w:rsid w:val="00114B7F"/>
    <w:rsid w:val="00122BD1"/>
    <w:rsid w:val="001263C7"/>
    <w:rsid w:val="00127640"/>
    <w:rsid w:val="0013471F"/>
    <w:rsid w:val="00137501"/>
    <w:rsid w:val="001413B9"/>
    <w:rsid w:val="00146C47"/>
    <w:rsid w:val="001472D9"/>
    <w:rsid w:val="00154040"/>
    <w:rsid w:val="001541EB"/>
    <w:rsid w:val="0015431D"/>
    <w:rsid w:val="00154C23"/>
    <w:rsid w:val="0015745D"/>
    <w:rsid w:val="00160F44"/>
    <w:rsid w:val="00162050"/>
    <w:rsid w:val="00162231"/>
    <w:rsid w:val="00162E69"/>
    <w:rsid w:val="00164513"/>
    <w:rsid w:val="0016716C"/>
    <w:rsid w:val="0017759C"/>
    <w:rsid w:val="00181925"/>
    <w:rsid w:val="0019087E"/>
    <w:rsid w:val="001918C6"/>
    <w:rsid w:val="0019256B"/>
    <w:rsid w:val="0019272C"/>
    <w:rsid w:val="00193727"/>
    <w:rsid w:val="001955AF"/>
    <w:rsid w:val="0019594B"/>
    <w:rsid w:val="00195A07"/>
    <w:rsid w:val="0019698C"/>
    <w:rsid w:val="001B01BD"/>
    <w:rsid w:val="001B34E2"/>
    <w:rsid w:val="001B658C"/>
    <w:rsid w:val="001C218B"/>
    <w:rsid w:val="001C4D44"/>
    <w:rsid w:val="001C50EB"/>
    <w:rsid w:val="001C6DAF"/>
    <w:rsid w:val="001D0582"/>
    <w:rsid w:val="001D4953"/>
    <w:rsid w:val="001D6B20"/>
    <w:rsid w:val="001E1063"/>
    <w:rsid w:val="001E3BC1"/>
    <w:rsid w:val="001F1C01"/>
    <w:rsid w:val="001F2621"/>
    <w:rsid w:val="00200B11"/>
    <w:rsid w:val="0020248A"/>
    <w:rsid w:val="00211335"/>
    <w:rsid w:val="0021276D"/>
    <w:rsid w:val="00213DE9"/>
    <w:rsid w:val="00221E12"/>
    <w:rsid w:val="00224CE8"/>
    <w:rsid w:val="002311D1"/>
    <w:rsid w:val="00232474"/>
    <w:rsid w:val="00233707"/>
    <w:rsid w:val="00234A50"/>
    <w:rsid w:val="00235F35"/>
    <w:rsid w:val="00237A3B"/>
    <w:rsid w:val="00240D4C"/>
    <w:rsid w:val="002431FD"/>
    <w:rsid w:val="00251A5E"/>
    <w:rsid w:val="00260245"/>
    <w:rsid w:val="00260478"/>
    <w:rsid w:val="00260D13"/>
    <w:rsid w:val="00266180"/>
    <w:rsid w:val="00266C88"/>
    <w:rsid w:val="00273486"/>
    <w:rsid w:val="002829F9"/>
    <w:rsid w:val="00291C35"/>
    <w:rsid w:val="002942D2"/>
    <w:rsid w:val="002A3A19"/>
    <w:rsid w:val="002A59B5"/>
    <w:rsid w:val="002A7FF3"/>
    <w:rsid w:val="002B3157"/>
    <w:rsid w:val="002B4194"/>
    <w:rsid w:val="002B63DB"/>
    <w:rsid w:val="002C1107"/>
    <w:rsid w:val="002C14DC"/>
    <w:rsid w:val="002C4E1C"/>
    <w:rsid w:val="002C66D0"/>
    <w:rsid w:val="002D3B0B"/>
    <w:rsid w:val="002D457C"/>
    <w:rsid w:val="002D7CCA"/>
    <w:rsid w:val="002E137B"/>
    <w:rsid w:val="002E1BA0"/>
    <w:rsid w:val="002E42F4"/>
    <w:rsid w:val="002E54C6"/>
    <w:rsid w:val="002E5CDF"/>
    <w:rsid w:val="002E643C"/>
    <w:rsid w:val="002E6634"/>
    <w:rsid w:val="002E711C"/>
    <w:rsid w:val="002F1530"/>
    <w:rsid w:val="002F5E3C"/>
    <w:rsid w:val="002F6522"/>
    <w:rsid w:val="002F6700"/>
    <w:rsid w:val="00300A2D"/>
    <w:rsid w:val="00302FC9"/>
    <w:rsid w:val="003045FE"/>
    <w:rsid w:val="00305BE5"/>
    <w:rsid w:val="00307542"/>
    <w:rsid w:val="00310264"/>
    <w:rsid w:val="0031147D"/>
    <w:rsid w:val="00313E07"/>
    <w:rsid w:val="00322502"/>
    <w:rsid w:val="00322805"/>
    <w:rsid w:val="00324550"/>
    <w:rsid w:val="00326195"/>
    <w:rsid w:val="00332C15"/>
    <w:rsid w:val="00337C39"/>
    <w:rsid w:val="00337CE6"/>
    <w:rsid w:val="00337ED9"/>
    <w:rsid w:val="00340980"/>
    <w:rsid w:val="003413F1"/>
    <w:rsid w:val="003430D7"/>
    <w:rsid w:val="0035085A"/>
    <w:rsid w:val="0035486D"/>
    <w:rsid w:val="00374A19"/>
    <w:rsid w:val="00380765"/>
    <w:rsid w:val="0038222F"/>
    <w:rsid w:val="00383FD1"/>
    <w:rsid w:val="00387410"/>
    <w:rsid w:val="00390242"/>
    <w:rsid w:val="0039095B"/>
    <w:rsid w:val="00395C43"/>
    <w:rsid w:val="003A0A59"/>
    <w:rsid w:val="003A428C"/>
    <w:rsid w:val="003B3988"/>
    <w:rsid w:val="003C2032"/>
    <w:rsid w:val="003C5EEF"/>
    <w:rsid w:val="003D05C0"/>
    <w:rsid w:val="003D29A0"/>
    <w:rsid w:val="003D3184"/>
    <w:rsid w:val="003D683F"/>
    <w:rsid w:val="003E3F91"/>
    <w:rsid w:val="003F02B7"/>
    <w:rsid w:val="003F2E4E"/>
    <w:rsid w:val="003F456F"/>
    <w:rsid w:val="003F4E5F"/>
    <w:rsid w:val="003F52A6"/>
    <w:rsid w:val="003F7419"/>
    <w:rsid w:val="003F7B78"/>
    <w:rsid w:val="00400E3E"/>
    <w:rsid w:val="004105BE"/>
    <w:rsid w:val="00413CA7"/>
    <w:rsid w:val="00422400"/>
    <w:rsid w:val="004237BE"/>
    <w:rsid w:val="004327BD"/>
    <w:rsid w:val="00435130"/>
    <w:rsid w:val="004418BB"/>
    <w:rsid w:val="004420F6"/>
    <w:rsid w:val="004526E3"/>
    <w:rsid w:val="00457378"/>
    <w:rsid w:val="00457C41"/>
    <w:rsid w:val="00470C78"/>
    <w:rsid w:val="00472963"/>
    <w:rsid w:val="00474201"/>
    <w:rsid w:val="00480984"/>
    <w:rsid w:val="00485C16"/>
    <w:rsid w:val="004870ED"/>
    <w:rsid w:val="004911AA"/>
    <w:rsid w:val="00492A22"/>
    <w:rsid w:val="00496C30"/>
    <w:rsid w:val="004A0328"/>
    <w:rsid w:val="004A586A"/>
    <w:rsid w:val="004B07A5"/>
    <w:rsid w:val="004B152C"/>
    <w:rsid w:val="004B268F"/>
    <w:rsid w:val="004B31F9"/>
    <w:rsid w:val="004B6503"/>
    <w:rsid w:val="004C6403"/>
    <w:rsid w:val="004D1225"/>
    <w:rsid w:val="004D17AE"/>
    <w:rsid w:val="004D7C24"/>
    <w:rsid w:val="004E14FA"/>
    <w:rsid w:val="004E3469"/>
    <w:rsid w:val="004F04E0"/>
    <w:rsid w:val="00500766"/>
    <w:rsid w:val="005018D7"/>
    <w:rsid w:val="00501D9D"/>
    <w:rsid w:val="00504E2F"/>
    <w:rsid w:val="00510DDE"/>
    <w:rsid w:val="00510DE1"/>
    <w:rsid w:val="00513818"/>
    <w:rsid w:val="005157DB"/>
    <w:rsid w:val="005220D2"/>
    <w:rsid w:val="00523BD9"/>
    <w:rsid w:val="00524466"/>
    <w:rsid w:val="0052531C"/>
    <w:rsid w:val="00525BA2"/>
    <w:rsid w:val="00527332"/>
    <w:rsid w:val="00532CB7"/>
    <w:rsid w:val="00536A77"/>
    <w:rsid w:val="0054237B"/>
    <w:rsid w:val="00544AF9"/>
    <w:rsid w:val="005507AA"/>
    <w:rsid w:val="00551057"/>
    <w:rsid w:val="00554B18"/>
    <w:rsid w:val="005571FC"/>
    <w:rsid w:val="00557D2C"/>
    <w:rsid w:val="00561A0F"/>
    <w:rsid w:val="00566AE0"/>
    <w:rsid w:val="005717B3"/>
    <w:rsid w:val="00573A37"/>
    <w:rsid w:val="00575B4E"/>
    <w:rsid w:val="0058650A"/>
    <w:rsid w:val="00594D67"/>
    <w:rsid w:val="005961D7"/>
    <w:rsid w:val="005A2719"/>
    <w:rsid w:val="005A3EB4"/>
    <w:rsid w:val="005B1B57"/>
    <w:rsid w:val="005C09E7"/>
    <w:rsid w:val="005C3BB7"/>
    <w:rsid w:val="005C59B5"/>
    <w:rsid w:val="005C6B5F"/>
    <w:rsid w:val="005C75E1"/>
    <w:rsid w:val="005C7D76"/>
    <w:rsid w:val="005D25E4"/>
    <w:rsid w:val="005D5B6F"/>
    <w:rsid w:val="005D71AF"/>
    <w:rsid w:val="005E0D30"/>
    <w:rsid w:val="005E22A6"/>
    <w:rsid w:val="005F22C9"/>
    <w:rsid w:val="005F3A3C"/>
    <w:rsid w:val="005F56A4"/>
    <w:rsid w:val="0060120B"/>
    <w:rsid w:val="00601473"/>
    <w:rsid w:val="006053BE"/>
    <w:rsid w:val="00605732"/>
    <w:rsid w:val="00611C6D"/>
    <w:rsid w:val="00613FA1"/>
    <w:rsid w:val="006147FA"/>
    <w:rsid w:val="00614CF0"/>
    <w:rsid w:val="00617FF7"/>
    <w:rsid w:val="0063074A"/>
    <w:rsid w:val="00635ADF"/>
    <w:rsid w:val="006378E7"/>
    <w:rsid w:val="0064190C"/>
    <w:rsid w:val="00643227"/>
    <w:rsid w:val="006503A7"/>
    <w:rsid w:val="00651F42"/>
    <w:rsid w:val="00652A1C"/>
    <w:rsid w:val="006531BC"/>
    <w:rsid w:val="006547D6"/>
    <w:rsid w:val="0066526D"/>
    <w:rsid w:val="00670D9D"/>
    <w:rsid w:val="006728ED"/>
    <w:rsid w:val="00672F50"/>
    <w:rsid w:val="006747B9"/>
    <w:rsid w:val="0068317C"/>
    <w:rsid w:val="00683C7F"/>
    <w:rsid w:val="00685A6C"/>
    <w:rsid w:val="00686CFE"/>
    <w:rsid w:val="00692669"/>
    <w:rsid w:val="006933FE"/>
    <w:rsid w:val="006962D6"/>
    <w:rsid w:val="006968D5"/>
    <w:rsid w:val="00696D10"/>
    <w:rsid w:val="006A0AE2"/>
    <w:rsid w:val="006B076A"/>
    <w:rsid w:val="006B10C6"/>
    <w:rsid w:val="006B3F2E"/>
    <w:rsid w:val="006B4A05"/>
    <w:rsid w:val="006B64C1"/>
    <w:rsid w:val="006B6916"/>
    <w:rsid w:val="006B72D9"/>
    <w:rsid w:val="006C08EE"/>
    <w:rsid w:val="006C40AF"/>
    <w:rsid w:val="006D009F"/>
    <w:rsid w:val="006D7E43"/>
    <w:rsid w:val="006E0235"/>
    <w:rsid w:val="006E0C85"/>
    <w:rsid w:val="006F3295"/>
    <w:rsid w:val="006F33CC"/>
    <w:rsid w:val="006F52BD"/>
    <w:rsid w:val="00700D1A"/>
    <w:rsid w:val="0070687C"/>
    <w:rsid w:val="00707F47"/>
    <w:rsid w:val="007102F9"/>
    <w:rsid w:val="007109A7"/>
    <w:rsid w:val="0071233B"/>
    <w:rsid w:val="00713FA8"/>
    <w:rsid w:val="00714264"/>
    <w:rsid w:val="00726E01"/>
    <w:rsid w:val="00734204"/>
    <w:rsid w:val="00736E38"/>
    <w:rsid w:val="00740126"/>
    <w:rsid w:val="00740308"/>
    <w:rsid w:val="00741B99"/>
    <w:rsid w:val="00744CD3"/>
    <w:rsid w:val="00754A18"/>
    <w:rsid w:val="00766260"/>
    <w:rsid w:val="00771148"/>
    <w:rsid w:val="007726A7"/>
    <w:rsid w:val="00775066"/>
    <w:rsid w:val="00775D6D"/>
    <w:rsid w:val="00777B35"/>
    <w:rsid w:val="00781E83"/>
    <w:rsid w:val="00783170"/>
    <w:rsid w:val="00794F0E"/>
    <w:rsid w:val="007958B4"/>
    <w:rsid w:val="007A0859"/>
    <w:rsid w:val="007A08BA"/>
    <w:rsid w:val="007A09C0"/>
    <w:rsid w:val="007A19A9"/>
    <w:rsid w:val="007A6842"/>
    <w:rsid w:val="007B3B1D"/>
    <w:rsid w:val="007B4E25"/>
    <w:rsid w:val="007B5535"/>
    <w:rsid w:val="007C045D"/>
    <w:rsid w:val="007C6DD0"/>
    <w:rsid w:val="007C773F"/>
    <w:rsid w:val="007D5816"/>
    <w:rsid w:val="007F099E"/>
    <w:rsid w:val="007F2085"/>
    <w:rsid w:val="007F4DE8"/>
    <w:rsid w:val="007F5439"/>
    <w:rsid w:val="007F5948"/>
    <w:rsid w:val="00800E2E"/>
    <w:rsid w:val="00800FE5"/>
    <w:rsid w:val="008015F4"/>
    <w:rsid w:val="00801722"/>
    <w:rsid w:val="00805C6E"/>
    <w:rsid w:val="008068D1"/>
    <w:rsid w:val="00806B0F"/>
    <w:rsid w:val="00810497"/>
    <w:rsid w:val="00812D1E"/>
    <w:rsid w:val="008152B4"/>
    <w:rsid w:val="00815FBB"/>
    <w:rsid w:val="00816B3B"/>
    <w:rsid w:val="0081771A"/>
    <w:rsid w:val="00817899"/>
    <w:rsid w:val="00821860"/>
    <w:rsid w:val="00822D4E"/>
    <w:rsid w:val="00824A98"/>
    <w:rsid w:val="00830A31"/>
    <w:rsid w:val="00833510"/>
    <w:rsid w:val="008355BC"/>
    <w:rsid w:val="00836983"/>
    <w:rsid w:val="0084010A"/>
    <w:rsid w:val="008448B0"/>
    <w:rsid w:val="00851CD2"/>
    <w:rsid w:val="008639BE"/>
    <w:rsid w:val="00864D5C"/>
    <w:rsid w:val="008715A7"/>
    <w:rsid w:val="00873222"/>
    <w:rsid w:val="00874FBF"/>
    <w:rsid w:val="008804A3"/>
    <w:rsid w:val="00883446"/>
    <w:rsid w:val="00885819"/>
    <w:rsid w:val="00885F95"/>
    <w:rsid w:val="00890868"/>
    <w:rsid w:val="008910EE"/>
    <w:rsid w:val="00892472"/>
    <w:rsid w:val="00897011"/>
    <w:rsid w:val="008A44BC"/>
    <w:rsid w:val="008A4B65"/>
    <w:rsid w:val="008A4D18"/>
    <w:rsid w:val="008B4AEB"/>
    <w:rsid w:val="008C15DB"/>
    <w:rsid w:val="008C2BA3"/>
    <w:rsid w:val="008C4E7C"/>
    <w:rsid w:val="008D0F5B"/>
    <w:rsid w:val="008D4A6C"/>
    <w:rsid w:val="008E2336"/>
    <w:rsid w:val="008F6AEE"/>
    <w:rsid w:val="008F7E95"/>
    <w:rsid w:val="0090156B"/>
    <w:rsid w:val="00902DAC"/>
    <w:rsid w:val="009063A2"/>
    <w:rsid w:val="00911FC1"/>
    <w:rsid w:val="0091246E"/>
    <w:rsid w:val="00914A46"/>
    <w:rsid w:val="00914FE3"/>
    <w:rsid w:val="00916D3E"/>
    <w:rsid w:val="009203B1"/>
    <w:rsid w:val="00921B41"/>
    <w:rsid w:val="00922A66"/>
    <w:rsid w:val="00923C82"/>
    <w:rsid w:val="009248F9"/>
    <w:rsid w:val="00936C03"/>
    <w:rsid w:val="009378DE"/>
    <w:rsid w:val="00937E5B"/>
    <w:rsid w:val="00940EF2"/>
    <w:rsid w:val="00941FFB"/>
    <w:rsid w:val="00942DFA"/>
    <w:rsid w:val="00943B3B"/>
    <w:rsid w:val="00944942"/>
    <w:rsid w:val="00944DC1"/>
    <w:rsid w:val="00951062"/>
    <w:rsid w:val="00951CE5"/>
    <w:rsid w:val="00955607"/>
    <w:rsid w:val="00956CDA"/>
    <w:rsid w:val="00961245"/>
    <w:rsid w:val="009647BF"/>
    <w:rsid w:val="009652C2"/>
    <w:rsid w:val="009707C4"/>
    <w:rsid w:val="00976485"/>
    <w:rsid w:val="0097782A"/>
    <w:rsid w:val="00980C5A"/>
    <w:rsid w:val="00985E73"/>
    <w:rsid w:val="00987344"/>
    <w:rsid w:val="0099256C"/>
    <w:rsid w:val="0099768A"/>
    <w:rsid w:val="009B1DED"/>
    <w:rsid w:val="009B4E40"/>
    <w:rsid w:val="009B6E8C"/>
    <w:rsid w:val="009B78FB"/>
    <w:rsid w:val="009C4A33"/>
    <w:rsid w:val="009C5C0E"/>
    <w:rsid w:val="009D0CA1"/>
    <w:rsid w:val="009D2894"/>
    <w:rsid w:val="009D5498"/>
    <w:rsid w:val="009D740C"/>
    <w:rsid w:val="009E0730"/>
    <w:rsid w:val="009E343B"/>
    <w:rsid w:val="009E42B2"/>
    <w:rsid w:val="009E4A5F"/>
    <w:rsid w:val="009F03EA"/>
    <w:rsid w:val="009F520A"/>
    <w:rsid w:val="009F5B8B"/>
    <w:rsid w:val="009F702A"/>
    <w:rsid w:val="009F71EE"/>
    <w:rsid w:val="00A02108"/>
    <w:rsid w:val="00A05A2C"/>
    <w:rsid w:val="00A12BA2"/>
    <w:rsid w:val="00A20524"/>
    <w:rsid w:val="00A24B3B"/>
    <w:rsid w:val="00A31B9D"/>
    <w:rsid w:val="00A326DF"/>
    <w:rsid w:val="00A33F95"/>
    <w:rsid w:val="00A356CD"/>
    <w:rsid w:val="00A35A55"/>
    <w:rsid w:val="00A4067E"/>
    <w:rsid w:val="00A40E19"/>
    <w:rsid w:val="00A4195D"/>
    <w:rsid w:val="00A42C31"/>
    <w:rsid w:val="00A440FE"/>
    <w:rsid w:val="00A460B4"/>
    <w:rsid w:val="00A50521"/>
    <w:rsid w:val="00A50F91"/>
    <w:rsid w:val="00A52689"/>
    <w:rsid w:val="00A6632C"/>
    <w:rsid w:val="00A707BC"/>
    <w:rsid w:val="00A77386"/>
    <w:rsid w:val="00A81276"/>
    <w:rsid w:val="00A83DD7"/>
    <w:rsid w:val="00A87FB5"/>
    <w:rsid w:val="00A938C5"/>
    <w:rsid w:val="00AA46FD"/>
    <w:rsid w:val="00AB23BA"/>
    <w:rsid w:val="00AB5930"/>
    <w:rsid w:val="00AC3ADD"/>
    <w:rsid w:val="00AD4CFD"/>
    <w:rsid w:val="00AD4F9C"/>
    <w:rsid w:val="00AD5639"/>
    <w:rsid w:val="00AD7E08"/>
    <w:rsid w:val="00AE3662"/>
    <w:rsid w:val="00AF0F32"/>
    <w:rsid w:val="00AF1F32"/>
    <w:rsid w:val="00AF3916"/>
    <w:rsid w:val="00B15A6E"/>
    <w:rsid w:val="00B20F9F"/>
    <w:rsid w:val="00B33C20"/>
    <w:rsid w:val="00B372EC"/>
    <w:rsid w:val="00B37780"/>
    <w:rsid w:val="00B47817"/>
    <w:rsid w:val="00B50DFF"/>
    <w:rsid w:val="00B53AA2"/>
    <w:rsid w:val="00B5461B"/>
    <w:rsid w:val="00B5734F"/>
    <w:rsid w:val="00B73696"/>
    <w:rsid w:val="00B773DD"/>
    <w:rsid w:val="00B80A34"/>
    <w:rsid w:val="00B824C0"/>
    <w:rsid w:val="00B83249"/>
    <w:rsid w:val="00B845A0"/>
    <w:rsid w:val="00B8612F"/>
    <w:rsid w:val="00B93253"/>
    <w:rsid w:val="00B9494B"/>
    <w:rsid w:val="00BA08DC"/>
    <w:rsid w:val="00BA2264"/>
    <w:rsid w:val="00BA7749"/>
    <w:rsid w:val="00BB1F52"/>
    <w:rsid w:val="00BB4989"/>
    <w:rsid w:val="00BB5A5F"/>
    <w:rsid w:val="00BC7666"/>
    <w:rsid w:val="00BD43E7"/>
    <w:rsid w:val="00BD7660"/>
    <w:rsid w:val="00BE5C83"/>
    <w:rsid w:val="00BE65F1"/>
    <w:rsid w:val="00BE72D3"/>
    <w:rsid w:val="00BF50FD"/>
    <w:rsid w:val="00BF558C"/>
    <w:rsid w:val="00BF5D21"/>
    <w:rsid w:val="00C03DF6"/>
    <w:rsid w:val="00C03EB5"/>
    <w:rsid w:val="00C03FA2"/>
    <w:rsid w:val="00C07D7E"/>
    <w:rsid w:val="00C15953"/>
    <w:rsid w:val="00C207D9"/>
    <w:rsid w:val="00C20E42"/>
    <w:rsid w:val="00C25BF9"/>
    <w:rsid w:val="00C27F5A"/>
    <w:rsid w:val="00C318AC"/>
    <w:rsid w:val="00C41493"/>
    <w:rsid w:val="00C42DA8"/>
    <w:rsid w:val="00C44ECA"/>
    <w:rsid w:val="00C45D79"/>
    <w:rsid w:val="00C460E1"/>
    <w:rsid w:val="00C47039"/>
    <w:rsid w:val="00C533C5"/>
    <w:rsid w:val="00C54FFD"/>
    <w:rsid w:val="00C60F95"/>
    <w:rsid w:val="00C61416"/>
    <w:rsid w:val="00C61B7F"/>
    <w:rsid w:val="00C6287F"/>
    <w:rsid w:val="00C81786"/>
    <w:rsid w:val="00C90CC8"/>
    <w:rsid w:val="00C91404"/>
    <w:rsid w:val="00C941FF"/>
    <w:rsid w:val="00C956AB"/>
    <w:rsid w:val="00CA2FF6"/>
    <w:rsid w:val="00CA3626"/>
    <w:rsid w:val="00CA4FA2"/>
    <w:rsid w:val="00CA67CB"/>
    <w:rsid w:val="00CA6852"/>
    <w:rsid w:val="00CB632F"/>
    <w:rsid w:val="00CB7A6E"/>
    <w:rsid w:val="00CC23FD"/>
    <w:rsid w:val="00CC52B5"/>
    <w:rsid w:val="00CC70FF"/>
    <w:rsid w:val="00CD0657"/>
    <w:rsid w:val="00CD0808"/>
    <w:rsid w:val="00CD18ED"/>
    <w:rsid w:val="00CD5A48"/>
    <w:rsid w:val="00CD63F7"/>
    <w:rsid w:val="00CE1657"/>
    <w:rsid w:val="00CE1B30"/>
    <w:rsid w:val="00CE4518"/>
    <w:rsid w:val="00CE62EB"/>
    <w:rsid w:val="00CE76EE"/>
    <w:rsid w:val="00CF460D"/>
    <w:rsid w:val="00CF6973"/>
    <w:rsid w:val="00D0284F"/>
    <w:rsid w:val="00D047C2"/>
    <w:rsid w:val="00D12ED9"/>
    <w:rsid w:val="00D1367B"/>
    <w:rsid w:val="00D14BF0"/>
    <w:rsid w:val="00D219DA"/>
    <w:rsid w:val="00D2778D"/>
    <w:rsid w:val="00D30431"/>
    <w:rsid w:val="00D30B76"/>
    <w:rsid w:val="00D33A24"/>
    <w:rsid w:val="00D35C65"/>
    <w:rsid w:val="00D3772A"/>
    <w:rsid w:val="00D41E8A"/>
    <w:rsid w:val="00D442AF"/>
    <w:rsid w:val="00D44A5F"/>
    <w:rsid w:val="00D47845"/>
    <w:rsid w:val="00D5044D"/>
    <w:rsid w:val="00D5095E"/>
    <w:rsid w:val="00D5145C"/>
    <w:rsid w:val="00D52C4C"/>
    <w:rsid w:val="00D53695"/>
    <w:rsid w:val="00D54A62"/>
    <w:rsid w:val="00D54ED8"/>
    <w:rsid w:val="00D60AF7"/>
    <w:rsid w:val="00D66A89"/>
    <w:rsid w:val="00D67A4F"/>
    <w:rsid w:val="00D72D14"/>
    <w:rsid w:val="00D741F7"/>
    <w:rsid w:val="00D8081B"/>
    <w:rsid w:val="00D8476D"/>
    <w:rsid w:val="00D86A51"/>
    <w:rsid w:val="00D90609"/>
    <w:rsid w:val="00D966CC"/>
    <w:rsid w:val="00DA1F61"/>
    <w:rsid w:val="00DA244B"/>
    <w:rsid w:val="00DA53C4"/>
    <w:rsid w:val="00DA6EC5"/>
    <w:rsid w:val="00DC009D"/>
    <w:rsid w:val="00DC6A2D"/>
    <w:rsid w:val="00DC6F9E"/>
    <w:rsid w:val="00DC743D"/>
    <w:rsid w:val="00DC76C6"/>
    <w:rsid w:val="00DD00C0"/>
    <w:rsid w:val="00DD782A"/>
    <w:rsid w:val="00DE2E9C"/>
    <w:rsid w:val="00DE3D0F"/>
    <w:rsid w:val="00DE4772"/>
    <w:rsid w:val="00DF1699"/>
    <w:rsid w:val="00DF5A25"/>
    <w:rsid w:val="00DF6A75"/>
    <w:rsid w:val="00E0044C"/>
    <w:rsid w:val="00E05BA5"/>
    <w:rsid w:val="00E10854"/>
    <w:rsid w:val="00E13A09"/>
    <w:rsid w:val="00E1774C"/>
    <w:rsid w:val="00E20E30"/>
    <w:rsid w:val="00E23F75"/>
    <w:rsid w:val="00E251C2"/>
    <w:rsid w:val="00E26709"/>
    <w:rsid w:val="00E271FA"/>
    <w:rsid w:val="00E31951"/>
    <w:rsid w:val="00E36327"/>
    <w:rsid w:val="00E40F51"/>
    <w:rsid w:val="00E44EC7"/>
    <w:rsid w:val="00E5663B"/>
    <w:rsid w:val="00E60D12"/>
    <w:rsid w:val="00E61BC0"/>
    <w:rsid w:val="00E62785"/>
    <w:rsid w:val="00E62E80"/>
    <w:rsid w:val="00E6400E"/>
    <w:rsid w:val="00E65FC5"/>
    <w:rsid w:val="00E73824"/>
    <w:rsid w:val="00E74E46"/>
    <w:rsid w:val="00E777A9"/>
    <w:rsid w:val="00E85B79"/>
    <w:rsid w:val="00E87E07"/>
    <w:rsid w:val="00E9116F"/>
    <w:rsid w:val="00E91A81"/>
    <w:rsid w:val="00EA06F8"/>
    <w:rsid w:val="00EA39C1"/>
    <w:rsid w:val="00EA7EBA"/>
    <w:rsid w:val="00EB018A"/>
    <w:rsid w:val="00EB38EA"/>
    <w:rsid w:val="00EB4059"/>
    <w:rsid w:val="00EB66E3"/>
    <w:rsid w:val="00EB675D"/>
    <w:rsid w:val="00EB7CA2"/>
    <w:rsid w:val="00EC6F8C"/>
    <w:rsid w:val="00EC7A54"/>
    <w:rsid w:val="00ED0A15"/>
    <w:rsid w:val="00ED73D7"/>
    <w:rsid w:val="00EE07C0"/>
    <w:rsid w:val="00EE597B"/>
    <w:rsid w:val="00EF48AA"/>
    <w:rsid w:val="00EF51E4"/>
    <w:rsid w:val="00F012DE"/>
    <w:rsid w:val="00F02D61"/>
    <w:rsid w:val="00F1204A"/>
    <w:rsid w:val="00F17E79"/>
    <w:rsid w:val="00F21323"/>
    <w:rsid w:val="00F2190A"/>
    <w:rsid w:val="00F21C69"/>
    <w:rsid w:val="00F23340"/>
    <w:rsid w:val="00F2752F"/>
    <w:rsid w:val="00F30419"/>
    <w:rsid w:val="00F32FFF"/>
    <w:rsid w:val="00F36961"/>
    <w:rsid w:val="00F424E8"/>
    <w:rsid w:val="00F459FA"/>
    <w:rsid w:val="00F4668B"/>
    <w:rsid w:val="00F50EAD"/>
    <w:rsid w:val="00F51870"/>
    <w:rsid w:val="00F5501C"/>
    <w:rsid w:val="00F57D04"/>
    <w:rsid w:val="00F65484"/>
    <w:rsid w:val="00F670A9"/>
    <w:rsid w:val="00F775AB"/>
    <w:rsid w:val="00F84B62"/>
    <w:rsid w:val="00F87340"/>
    <w:rsid w:val="00F94807"/>
    <w:rsid w:val="00FA2468"/>
    <w:rsid w:val="00FA4FD4"/>
    <w:rsid w:val="00FB1F9C"/>
    <w:rsid w:val="00FB2A6E"/>
    <w:rsid w:val="00FC0EB5"/>
    <w:rsid w:val="00FC10EB"/>
    <w:rsid w:val="00FC2482"/>
    <w:rsid w:val="00FD50BD"/>
    <w:rsid w:val="00FE79EF"/>
    <w:rsid w:val="00FF17E9"/>
    <w:rsid w:val="00FF2676"/>
    <w:rsid w:val="00FF2E4B"/>
    <w:rsid w:val="00FF3D09"/>
    <w:rsid w:val="00FF43AC"/>
    <w:rsid w:val="00FF4F7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F9760C"/>
  <w15:chartTrackingRefBased/>
  <w15:docId w15:val="{CBA22B7C-FEC2-4C79-BF89-DEF49BF97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2E643C"/>
    <w:pPr>
      <w:widowControl w:val="0"/>
      <w:suppressAutoHyphens/>
      <w:overflowPunct w:val="0"/>
      <w:autoSpaceDE w:val="0"/>
      <w:autoSpaceDN w:val="0"/>
      <w:spacing w:line="476" w:lineRule="atLeast"/>
      <w:jc w:val="both"/>
      <w:textAlignment w:val="baseline"/>
    </w:pPr>
    <w:rPr>
      <w:sz w:val="24"/>
    </w:rPr>
  </w:style>
  <w:style w:type="paragraph" w:styleId="Titolo1">
    <w:name w:val="heading 1"/>
    <w:basedOn w:val="Normale"/>
    <w:next w:val="Normale"/>
    <w:rsid w:val="002E643C"/>
    <w:pPr>
      <w:keepNext/>
      <w:outlineLvl w:val="0"/>
    </w:pPr>
    <w:rPr>
      <w:b/>
      <w:bCs/>
    </w:rPr>
  </w:style>
  <w:style w:type="paragraph" w:styleId="Titolo2">
    <w:name w:val="heading 2"/>
    <w:basedOn w:val="Normale"/>
    <w:next w:val="Normale"/>
    <w:rsid w:val="002E643C"/>
    <w:pPr>
      <w:keepNext/>
      <w:jc w:val="center"/>
      <w:outlineLvl w:val="1"/>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rsid w:val="002E643C"/>
    <w:pPr>
      <w:keepNext/>
      <w:ind w:right="28" w:firstLine="567"/>
      <w:jc w:val="center"/>
      <w:textAlignment w:val="auto"/>
    </w:pPr>
    <w:rPr>
      <w:b/>
      <w:sz w:val="40"/>
    </w:rPr>
  </w:style>
  <w:style w:type="paragraph" w:styleId="Sottotitolo">
    <w:name w:val="Subtitle"/>
    <w:basedOn w:val="Normale"/>
    <w:rsid w:val="002E643C"/>
    <w:pPr>
      <w:keepNext/>
      <w:ind w:right="-1"/>
      <w:jc w:val="center"/>
      <w:textAlignment w:val="auto"/>
    </w:pPr>
    <w:rPr>
      <w:i/>
      <w:iCs/>
      <w:sz w:val="20"/>
      <w:szCs w:val="24"/>
    </w:rPr>
  </w:style>
  <w:style w:type="paragraph" w:styleId="Corpodeltesto2">
    <w:name w:val="Body Text 2"/>
    <w:basedOn w:val="Normale"/>
    <w:rsid w:val="002E643C"/>
    <w:pPr>
      <w:keepNext/>
      <w:pBdr>
        <w:top w:val="single" w:sz="6" w:space="0" w:color="000000"/>
        <w:left w:val="single" w:sz="6" w:space="0" w:color="000000"/>
        <w:bottom w:val="single" w:sz="6" w:space="0" w:color="000000"/>
        <w:right w:val="single" w:sz="6" w:space="0" w:color="000000"/>
      </w:pBdr>
      <w:shd w:val="clear" w:color="auto" w:fill="FFFFFF"/>
      <w:textAlignment w:val="auto"/>
    </w:pPr>
    <w:rPr>
      <w:b/>
      <w:bCs/>
      <w:smallCaps/>
    </w:rPr>
  </w:style>
  <w:style w:type="paragraph" w:styleId="Rientrocorpodeltesto2">
    <w:name w:val="Body Text Indent 2"/>
    <w:basedOn w:val="Normale"/>
    <w:autoRedefine/>
    <w:rsid w:val="003F52A6"/>
    <w:pPr>
      <w:spacing w:line="240" w:lineRule="atLeast"/>
      <w:ind w:right="27"/>
      <w:textAlignment w:val="auto"/>
    </w:pPr>
  </w:style>
  <w:style w:type="paragraph" w:styleId="Corpodeltesto3">
    <w:name w:val="Body Text 3"/>
    <w:basedOn w:val="Normale"/>
    <w:rsid w:val="002E643C"/>
    <w:pPr>
      <w:keepNext/>
      <w:ind w:right="27"/>
      <w:textAlignment w:val="auto"/>
    </w:pPr>
  </w:style>
  <w:style w:type="paragraph" w:styleId="Corpotesto">
    <w:name w:val="Body Text"/>
    <w:basedOn w:val="Normale"/>
    <w:rsid w:val="002E643C"/>
    <w:pPr>
      <w:tabs>
        <w:tab w:val="left" w:pos="0"/>
      </w:tabs>
      <w:overflowPunct/>
      <w:autoSpaceDE/>
      <w:textAlignment w:val="auto"/>
    </w:pPr>
  </w:style>
  <w:style w:type="paragraph" w:styleId="Pidipagina">
    <w:name w:val="footer"/>
    <w:basedOn w:val="Normale"/>
    <w:link w:val="PidipaginaCarattere"/>
    <w:uiPriority w:val="99"/>
    <w:rsid w:val="002E643C"/>
    <w:pPr>
      <w:tabs>
        <w:tab w:val="center" w:pos="4819"/>
        <w:tab w:val="right" w:pos="9638"/>
      </w:tabs>
    </w:pPr>
  </w:style>
  <w:style w:type="character" w:styleId="Numeropagina">
    <w:name w:val="page number"/>
    <w:basedOn w:val="Carpredefinitoparagrafo"/>
    <w:rsid w:val="002E643C"/>
  </w:style>
  <w:style w:type="paragraph" w:styleId="Intestazione">
    <w:name w:val="header"/>
    <w:basedOn w:val="Normale"/>
    <w:rsid w:val="002E643C"/>
    <w:pPr>
      <w:tabs>
        <w:tab w:val="center" w:pos="4819"/>
        <w:tab w:val="right" w:pos="9638"/>
      </w:tabs>
    </w:pPr>
  </w:style>
  <w:style w:type="paragraph" w:styleId="Rientrocorpodeltesto">
    <w:name w:val="Body Text Indent"/>
    <w:basedOn w:val="Normale"/>
    <w:autoRedefine/>
    <w:rsid w:val="002E643C"/>
    <w:pPr>
      <w:tabs>
        <w:tab w:val="left" w:pos="0"/>
        <w:tab w:val="left" w:pos="5216"/>
      </w:tabs>
      <w:overflowPunct/>
      <w:spacing w:line="480" w:lineRule="atLeast"/>
      <w:textAlignment w:val="auto"/>
    </w:pPr>
  </w:style>
  <w:style w:type="paragraph" w:styleId="Rientrocorpodeltesto3">
    <w:name w:val="Body Text Indent 3"/>
    <w:basedOn w:val="Normale"/>
    <w:rsid w:val="002E643C"/>
    <w:pPr>
      <w:ind w:firstLine="284"/>
    </w:pPr>
  </w:style>
  <w:style w:type="paragraph" w:styleId="Mappadocumento">
    <w:name w:val="Document Map"/>
    <w:basedOn w:val="Normale"/>
    <w:rsid w:val="002E643C"/>
    <w:pPr>
      <w:shd w:val="clear" w:color="auto" w:fill="000080"/>
    </w:pPr>
    <w:rPr>
      <w:rFonts w:ascii="Tahoma" w:hAnsi="Tahoma" w:cs="Tahoma"/>
    </w:rPr>
  </w:style>
  <w:style w:type="paragraph" w:customStyle="1" w:styleId="BodyText21">
    <w:name w:val="Body Text 21"/>
    <w:basedOn w:val="Normale"/>
    <w:rsid w:val="002E643C"/>
    <w:pPr>
      <w:keepNext/>
      <w:ind w:firstLine="567"/>
    </w:pPr>
  </w:style>
  <w:style w:type="paragraph" w:styleId="Testofumetto">
    <w:name w:val="Balloon Text"/>
    <w:basedOn w:val="Normale"/>
    <w:rsid w:val="002E643C"/>
    <w:pPr>
      <w:spacing w:line="240" w:lineRule="auto"/>
    </w:pPr>
    <w:rPr>
      <w:rFonts w:ascii="Tahoma" w:hAnsi="Tahoma"/>
      <w:sz w:val="16"/>
      <w:szCs w:val="16"/>
    </w:rPr>
  </w:style>
  <w:style w:type="character" w:customStyle="1" w:styleId="TestofumettoCarattere">
    <w:name w:val="Testo fumetto Carattere"/>
    <w:rsid w:val="002E643C"/>
    <w:rPr>
      <w:rFonts w:ascii="Tahoma" w:hAnsi="Tahoma" w:cs="Tahoma"/>
      <w:sz w:val="16"/>
      <w:szCs w:val="16"/>
    </w:rPr>
  </w:style>
  <w:style w:type="paragraph" w:styleId="NormaleWeb">
    <w:name w:val="Normal (Web)"/>
    <w:basedOn w:val="Normale"/>
    <w:rsid w:val="002E643C"/>
    <w:pPr>
      <w:widowControl/>
      <w:overflowPunct/>
      <w:autoSpaceDE/>
      <w:spacing w:before="100" w:after="100" w:line="240" w:lineRule="auto"/>
      <w:jc w:val="left"/>
      <w:textAlignment w:val="auto"/>
    </w:pPr>
    <w:rPr>
      <w:szCs w:val="24"/>
    </w:rPr>
  </w:style>
  <w:style w:type="paragraph" w:customStyle="1" w:styleId="E">
    <w:name w:val="E"/>
    <w:basedOn w:val="Normale"/>
    <w:next w:val="Corpotesto"/>
    <w:rsid w:val="002E643C"/>
    <w:pPr>
      <w:tabs>
        <w:tab w:val="left" w:pos="0"/>
      </w:tabs>
      <w:overflowPunct/>
      <w:autoSpaceDE/>
      <w:textAlignment w:val="auto"/>
    </w:pPr>
  </w:style>
  <w:style w:type="paragraph" w:styleId="Paragrafoelenco">
    <w:name w:val="List Paragraph"/>
    <w:basedOn w:val="Normale"/>
    <w:uiPriority w:val="34"/>
    <w:qFormat/>
    <w:rsid w:val="006B4A05"/>
    <w:pPr>
      <w:ind w:left="720"/>
      <w:contextualSpacing/>
    </w:pPr>
  </w:style>
  <w:style w:type="character" w:styleId="Enfasigrassetto">
    <w:name w:val="Strong"/>
    <w:uiPriority w:val="22"/>
    <w:qFormat/>
    <w:rsid w:val="0060120B"/>
    <w:rPr>
      <w:b/>
      <w:bCs/>
    </w:rPr>
  </w:style>
  <w:style w:type="character" w:customStyle="1" w:styleId="PidipaginaCarattere">
    <w:name w:val="Piè di pagina Carattere"/>
    <w:link w:val="Pidipagina"/>
    <w:uiPriority w:val="99"/>
    <w:rsid w:val="00C47039"/>
    <w:rPr>
      <w:sz w:val="24"/>
    </w:rPr>
  </w:style>
  <w:style w:type="character" w:styleId="Collegamentoipertestuale">
    <w:name w:val="Hyperlink"/>
    <w:uiPriority w:val="99"/>
    <w:semiHidden/>
    <w:unhideWhenUsed/>
    <w:rsid w:val="00EC7A54"/>
    <w:rPr>
      <w:color w:val="0563C1"/>
      <w:u w:val="single"/>
    </w:rPr>
  </w:style>
  <w:style w:type="character" w:styleId="Rimandocommento">
    <w:name w:val="annotation reference"/>
    <w:uiPriority w:val="99"/>
    <w:semiHidden/>
    <w:unhideWhenUsed/>
    <w:rsid w:val="00D35C65"/>
    <w:rPr>
      <w:sz w:val="16"/>
      <w:szCs w:val="16"/>
    </w:rPr>
  </w:style>
  <w:style w:type="paragraph" w:styleId="Testocommento">
    <w:name w:val="annotation text"/>
    <w:basedOn w:val="Normale"/>
    <w:link w:val="TestocommentoCarattere"/>
    <w:uiPriority w:val="99"/>
    <w:semiHidden/>
    <w:unhideWhenUsed/>
    <w:rsid w:val="00D35C65"/>
    <w:rPr>
      <w:sz w:val="20"/>
    </w:rPr>
  </w:style>
  <w:style w:type="character" w:customStyle="1" w:styleId="TestocommentoCarattere">
    <w:name w:val="Testo commento Carattere"/>
    <w:basedOn w:val="Carpredefinitoparagrafo"/>
    <w:link w:val="Testocommento"/>
    <w:uiPriority w:val="99"/>
    <w:semiHidden/>
    <w:rsid w:val="00D35C65"/>
  </w:style>
  <w:style w:type="paragraph" w:styleId="Soggettocommento">
    <w:name w:val="annotation subject"/>
    <w:basedOn w:val="Testocommento"/>
    <w:next w:val="Testocommento"/>
    <w:link w:val="SoggettocommentoCarattere"/>
    <w:uiPriority w:val="99"/>
    <w:semiHidden/>
    <w:unhideWhenUsed/>
    <w:rsid w:val="00D35C65"/>
    <w:rPr>
      <w:b/>
      <w:bCs/>
    </w:rPr>
  </w:style>
  <w:style w:type="character" w:customStyle="1" w:styleId="SoggettocommentoCarattere">
    <w:name w:val="Soggetto commento Carattere"/>
    <w:link w:val="Soggettocommento"/>
    <w:uiPriority w:val="99"/>
    <w:semiHidden/>
    <w:rsid w:val="00D35C65"/>
    <w:rPr>
      <w:b/>
      <w:bCs/>
    </w:rPr>
  </w:style>
  <w:style w:type="numbering" w:customStyle="1" w:styleId="LFO25">
    <w:name w:val="LFO25"/>
    <w:basedOn w:val="Nessunelenco"/>
    <w:rsid w:val="002E643C"/>
    <w:pPr>
      <w:numPr>
        <w:numId w:val="1"/>
      </w:numPr>
    </w:pPr>
  </w:style>
  <w:style w:type="paragraph" w:styleId="Revisione">
    <w:name w:val="Revision"/>
    <w:hidden/>
    <w:uiPriority w:val="99"/>
    <w:semiHidden/>
    <w:rsid w:val="00193727"/>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038031">
      <w:bodyDiv w:val="1"/>
      <w:marLeft w:val="0"/>
      <w:marRight w:val="0"/>
      <w:marTop w:val="0"/>
      <w:marBottom w:val="0"/>
      <w:divBdr>
        <w:top w:val="none" w:sz="0" w:space="0" w:color="auto"/>
        <w:left w:val="none" w:sz="0" w:space="0" w:color="auto"/>
        <w:bottom w:val="none" w:sz="0" w:space="0" w:color="auto"/>
        <w:right w:val="none" w:sz="0" w:space="0" w:color="auto"/>
      </w:divBdr>
    </w:div>
    <w:div w:id="325742458">
      <w:bodyDiv w:val="1"/>
      <w:marLeft w:val="0"/>
      <w:marRight w:val="0"/>
      <w:marTop w:val="0"/>
      <w:marBottom w:val="0"/>
      <w:divBdr>
        <w:top w:val="none" w:sz="0" w:space="0" w:color="auto"/>
        <w:left w:val="none" w:sz="0" w:space="0" w:color="auto"/>
        <w:bottom w:val="none" w:sz="0" w:space="0" w:color="auto"/>
        <w:right w:val="none" w:sz="0" w:space="0" w:color="auto"/>
      </w:divBdr>
    </w:div>
    <w:div w:id="331103141">
      <w:bodyDiv w:val="1"/>
      <w:marLeft w:val="0"/>
      <w:marRight w:val="0"/>
      <w:marTop w:val="0"/>
      <w:marBottom w:val="0"/>
      <w:divBdr>
        <w:top w:val="none" w:sz="0" w:space="0" w:color="auto"/>
        <w:left w:val="none" w:sz="0" w:space="0" w:color="auto"/>
        <w:bottom w:val="none" w:sz="0" w:space="0" w:color="auto"/>
        <w:right w:val="none" w:sz="0" w:space="0" w:color="auto"/>
      </w:divBdr>
    </w:div>
    <w:div w:id="370426365">
      <w:bodyDiv w:val="1"/>
      <w:marLeft w:val="0"/>
      <w:marRight w:val="0"/>
      <w:marTop w:val="0"/>
      <w:marBottom w:val="0"/>
      <w:divBdr>
        <w:top w:val="none" w:sz="0" w:space="0" w:color="auto"/>
        <w:left w:val="none" w:sz="0" w:space="0" w:color="auto"/>
        <w:bottom w:val="none" w:sz="0" w:space="0" w:color="auto"/>
        <w:right w:val="none" w:sz="0" w:space="0" w:color="auto"/>
      </w:divBdr>
    </w:div>
    <w:div w:id="371079528">
      <w:bodyDiv w:val="1"/>
      <w:marLeft w:val="0"/>
      <w:marRight w:val="0"/>
      <w:marTop w:val="0"/>
      <w:marBottom w:val="0"/>
      <w:divBdr>
        <w:top w:val="none" w:sz="0" w:space="0" w:color="auto"/>
        <w:left w:val="none" w:sz="0" w:space="0" w:color="auto"/>
        <w:bottom w:val="none" w:sz="0" w:space="0" w:color="auto"/>
        <w:right w:val="none" w:sz="0" w:space="0" w:color="auto"/>
      </w:divBdr>
    </w:div>
    <w:div w:id="396249099">
      <w:bodyDiv w:val="1"/>
      <w:marLeft w:val="0"/>
      <w:marRight w:val="0"/>
      <w:marTop w:val="0"/>
      <w:marBottom w:val="0"/>
      <w:divBdr>
        <w:top w:val="none" w:sz="0" w:space="0" w:color="auto"/>
        <w:left w:val="none" w:sz="0" w:space="0" w:color="auto"/>
        <w:bottom w:val="none" w:sz="0" w:space="0" w:color="auto"/>
        <w:right w:val="none" w:sz="0" w:space="0" w:color="auto"/>
      </w:divBdr>
    </w:div>
    <w:div w:id="445974528">
      <w:bodyDiv w:val="1"/>
      <w:marLeft w:val="0"/>
      <w:marRight w:val="0"/>
      <w:marTop w:val="0"/>
      <w:marBottom w:val="0"/>
      <w:divBdr>
        <w:top w:val="none" w:sz="0" w:space="0" w:color="auto"/>
        <w:left w:val="none" w:sz="0" w:space="0" w:color="auto"/>
        <w:bottom w:val="none" w:sz="0" w:space="0" w:color="auto"/>
        <w:right w:val="none" w:sz="0" w:space="0" w:color="auto"/>
      </w:divBdr>
    </w:div>
    <w:div w:id="516774733">
      <w:bodyDiv w:val="1"/>
      <w:marLeft w:val="0"/>
      <w:marRight w:val="0"/>
      <w:marTop w:val="0"/>
      <w:marBottom w:val="0"/>
      <w:divBdr>
        <w:top w:val="none" w:sz="0" w:space="0" w:color="auto"/>
        <w:left w:val="none" w:sz="0" w:space="0" w:color="auto"/>
        <w:bottom w:val="none" w:sz="0" w:space="0" w:color="auto"/>
        <w:right w:val="none" w:sz="0" w:space="0" w:color="auto"/>
      </w:divBdr>
    </w:div>
    <w:div w:id="525170911">
      <w:bodyDiv w:val="1"/>
      <w:marLeft w:val="0"/>
      <w:marRight w:val="0"/>
      <w:marTop w:val="0"/>
      <w:marBottom w:val="0"/>
      <w:divBdr>
        <w:top w:val="none" w:sz="0" w:space="0" w:color="auto"/>
        <w:left w:val="none" w:sz="0" w:space="0" w:color="auto"/>
        <w:bottom w:val="none" w:sz="0" w:space="0" w:color="auto"/>
        <w:right w:val="none" w:sz="0" w:space="0" w:color="auto"/>
      </w:divBdr>
    </w:div>
    <w:div w:id="525801221">
      <w:bodyDiv w:val="1"/>
      <w:marLeft w:val="0"/>
      <w:marRight w:val="0"/>
      <w:marTop w:val="0"/>
      <w:marBottom w:val="0"/>
      <w:divBdr>
        <w:top w:val="none" w:sz="0" w:space="0" w:color="auto"/>
        <w:left w:val="none" w:sz="0" w:space="0" w:color="auto"/>
        <w:bottom w:val="none" w:sz="0" w:space="0" w:color="auto"/>
        <w:right w:val="none" w:sz="0" w:space="0" w:color="auto"/>
      </w:divBdr>
    </w:div>
    <w:div w:id="738942097">
      <w:bodyDiv w:val="1"/>
      <w:marLeft w:val="0"/>
      <w:marRight w:val="0"/>
      <w:marTop w:val="0"/>
      <w:marBottom w:val="0"/>
      <w:divBdr>
        <w:top w:val="none" w:sz="0" w:space="0" w:color="auto"/>
        <w:left w:val="none" w:sz="0" w:space="0" w:color="auto"/>
        <w:bottom w:val="none" w:sz="0" w:space="0" w:color="auto"/>
        <w:right w:val="none" w:sz="0" w:space="0" w:color="auto"/>
      </w:divBdr>
    </w:div>
    <w:div w:id="788403033">
      <w:bodyDiv w:val="1"/>
      <w:marLeft w:val="0"/>
      <w:marRight w:val="0"/>
      <w:marTop w:val="0"/>
      <w:marBottom w:val="0"/>
      <w:divBdr>
        <w:top w:val="none" w:sz="0" w:space="0" w:color="auto"/>
        <w:left w:val="none" w:sz="0" w:space="0" w:color="auto"/>
        <w:bottom w:val="none" w:sz="0" w:space="0" w:color="auto"/>
        <w:right w:val="none" w:sz="0" w:space="0" w:color="auto"/>
      </w:divBdr>
    </w:div>
    <w:div w:id="836068306">
      <w:bodyDiv w:val="1"/>
      <w:marLeft w:val="0"/>
      <w:marRight w:val="0"/>
      <w:marTop w:val="0"/>
      <w:marBottom w:val="0"/>
      <w:divBdr>
        <w:top w:val="none" w:sz="0" w:space="0" w:color="auto"/>
        <w:left w:val="none" w:sz="0" w:space="0" w:color="auto"/>
        <w:bottom w:val="none" w:sz="0" w:space="0" w:color="auto"/>
        <w:right w:val="none" w:sz="0" w:space="0" w:color="auto"/>
      </w:divBdr>
    </w:div>
    <w:div w:id="1224560473">
      <w:bodyDiv w:val="1"/>
      <w:marLeft w:val="0"/>
      <w:marRight w:val="0"/>
      <w:marTop w:val="0"/>
      <w:marBottom w:val="0"/>
      <w:divBdr>
        <w:top w:val="none" w:sz="0" w:space="0" w:color="auto"/>
        <w:left w:val="none" w:sz="0" w:space="0" w:color="auto"/>
        <w:bottom w:val="none" w:sz="0" w:space="0" w:color="auto"/>
        <w:right w:val="none" w:sz="0" w:space="0" w:color="auto"/>
      </w:divBdr>
    </w:div>
    <w:div w:id="1274482691">
      <w:bodyDiv w:val="1"/>
      <w:marLeft w:val="0"/>
      <w:marRight w:val="0"/>
      <w:marTop w:val="0"/>
      <w:marBottom w:val="0"/>
      <w:divBdr>
        <w:top w:val="none" w:sz="0" w:space="0" w:color="auto"/>
        <w:left w:val="none" w:sz="0" w:space="0" w:color="auto"/>
        <w:bottom w:val="none" w:sz="0" w:space="0" w:color="auto"/>
        <w:right w:val="none" w:sz="0" w:space="0" w:color="auto"/>
      </w:divBdr>
    </w:div>
    <w:div w:id="1381244094">
      <w:bodyDiv w:val="1"/>
      <w:marLeft w:val="0"/>
      <w:marRight w:val="0"/>
      <w:marTop w:val="0"/>
      <w:marBottom w:val="0"/>
      <w:divBdr>
        <w:top w:val="none" w:sz="0" w:space="0" w:color="auto"/>
        <w:left w:val="none" w:sz="0" w:space="0" w:color="auto"/>
        <w:bottom w:val="none" w:sz="0" w:space="0" w:color="auto"/>
        <w:right w:val="none" w:sz="0" w:space="0" w:color="auto"/>
      </w:divBdr>
    </w:div>
    <w:div w:id="1467430397">
      <w:bodyDiv w:val="1"/>
      <w:marLeft w:val="0"/>
      <w:marRight w:val="0"/>
      <w:marTop w:val="0"/>
      <w:marBottom w:val="0"/>
      <w:divBdr>
        <w:top w:val="none" w:sz="0" w:space="0" w:color="auto"/>
        <w:left w:val="none" w:sz="0" w:space="0" w:color="auto"/>
        <w:bottom w:val="none" w:sz="0" w:space="0" w:color="auto"/>
        <w:right w:val="none" w:sz="0" w:space="0" w:color="auto"/>
      </w:divBdr>
    </w:div>
    <w:div w:id="1544368756">
      <w:bodyDiv w:val="1"/>
      <w:marLeft w:val="0"/>
      <w:marRight w:val="0"/>
      <w:marTop w:val="0"/>
      <w:marBottom w:val="0"/>
      <w:divBdr>
        <w:top w:val="none" w:sz="0" w:space="0" w:color="auto"/>
        <w:left w:val="none" w:sz="0" w:space="0" w:color="auto"/>
        <w:bottom w:val="none" w:sz="0" w:space="0" w:color="auto"/>
        <w:right w:val="none" w:sz="0" w:space="0" w:color="auto"/>
      </w:divBdr>
    </w:div>
    <w:div w:id="1660766945">
      <w:bodyDiv w:val="1"/>
      <w:marLeft w:val="0"/>
      <w:marRight w:val="0"/>
      <w:marTop w:val="0"/>
      <w:marBottom w:val="0"/>
      <w:divBdr>
        <w:top w:val="none" w:sz="0" w:space="0" w:color="auto"/>
        <w:left w:val="none" w:sz="0" w:space="0" w:color="auto"/>
        <w:bottom w:val="none" w:sz="0" w:space="0" w:color="auto"/>
        <w:right w:val="none" w:sz="0" w:space="0" w:color="auto"/>
      </w:divBdr>
    </w:div>
    <w:div w:id="1695038939">
      <w:bodyDiv w:val="1"/>
      <w:marLeft w:val="0"/>
      <w:marRight w:val="0"/>
      <w:marTop w:val="0"/>
      <w:marBottom w:val="0"/>
      <w:divBdr>
        <w:top w:val="none" w:sz="0" w:space="0" w:color="auto"/>
        <w:left w:val="none" w:sz="0" w:space="0" w:color="auto"/>
        <w:bottom w:val="none" w:sz="0" w:space="0" w:color="auto"/>
        <w:right w:val="none" w:sz="0" w:space="0" w:color="auto"/>
      </w:divBdr>
    </w:div>
    <w:div w:id="1718160702">
      <w:bodyDiv w:val="1"/>
      <w:marLeft w:val="0"/>
      <w:marRight w:val="0"/>
      <w:marTop w:val="0"/>
      <w:marBottom w:val="0"/>
      <w:divBdr>
        <w:top w:val="none" w:sz="0" w:space="0" w:color="auto"/>
        <w:left w:val="none" w:sz="0" w:space="0" w:color="auto"/>
        <w:bottom w:val="none" w:sz="0" w:space="0" w:color="auto"/>
        <w:right w:val="none" w:sz="0" w:space="0" w:color="auto"/>
      </w:divBdr>
    </w:div>
    <w:div w:id="1743407377">
      <w:bodyDiv w:val="1"/>
      <w:marLeft w:val="0"/>
      <w:marRight w:val="0"/>
      <w:marTop w:val="0"/>
      <w:marBottom w:val="0"/>
      <w:divBdr>
        <w:top w:val="none" w:sz="0" w:space="0" w:color="auto"/>
        <w:left w:val="none" w:sz="0" w:space="0" w:color="auto"/>
        <w:bottom w:val="none" w:sz="0" w:space="0" w:color="auto"/>
        <w:right w:val="none" w:sz="0" w:space="0" w:color="auto"/>
      </w:divBdr>
    </w:div>
    <w:div w:id="1747073019">
      <w:bodyDiv w:val="1"/>
      <w:marLeft w:val="0"/>
      <w:marRight w:val="0"/>
      <w:marTop w:val="0"/>
      <w:marBottom w:val="0"/>
      <w:divBdr>
        <w:top w:val="none" w:sz="0" w:space="0" w:color="auto"/>
        <w:left w:val="none" w:sz="0" w:space="0" w:color="auto"/>
        <w:bottom w:val="none" w:sz="0" w:space="0" w:color="auto"/>
        <w:right w:val="none" w:sz="0" w:space="0" w:color="auto"/>
      </w:divBdr>
    </w:div>
    <w:div w:id="1784038600">
      <w:bodyDiv w:val="1"/>
      <w:marLeft w:val="0"/>
      <w:marRight w:val="0"/>
      <w:marTop w:val="0"/>
      <w:marBottom w:val="0"/>
      <w:divBdr>
        <w:top w:val="none" w:sz="0" w:space="0" w:color="auto"/>
        <w:left w:val="none" w:sz="0" w:space="0" w:color="auto"/>
        <w:bottom w:val="none" w:sz="0" w:space="0" w:color="auto"/>
        <w:right w:val="none" w:sz="0" w:space="0" w:color="auto"/>
      </w:divBdr>
    </w:div>
    <w:div w:id="1818108060">
      <w:bodyDiv w:val="1"/>
      <w:marLeft w:val="0"/>
      <w:marRight w:val="0"/>
      <w:marTop w:val="0"/>
      <w:marBottom w:val="0"/>
      <w:divBdr>
        <w:top w:val="none" w:sz="0" w:space="0" w:color="auto"/>
        <w:left w:val="none" w:sz="0" w:space="0" w:color="auto"/>
        <w:bottom w:val="none" w:sz="0" w:space="0" w:color="auto"/>
        <w:right w:val="none" w:sz="0" w:space="0" w:color="auto"/>
      </w:divBdr>
    </w:div>
    <w:div w:id="1986087543">
      <w:bodyDiv w:val="1"/>
      <w:marLeft w:val="0"/>
      <w:marRight w:val="0"/>
      <w:marTop w:val="0"/>
      <w:marBottom w:val="0"/>
      <w:divBdr>
        <w:top w:val="none" w:sz="0" w:space="0" w:color="auto"/>
        <w:left w:val="none" w:sz="0" w:space="0" w:color="auto"/>
        <w:bottom w:val="none" w:sz="0" w:space="0" w:color="auto"/>
        <w:right w:val="none" w:sz="0" w:space="0" w:color="auto"/>
      </w:divBdr>
    </w:div>
    <w:div w:id="21079156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A25360-8852-4EE3-A375-FFB7B829A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21</Pages>
  <Words>4708</Words>
  <Characters>26838</Characters>
  <Application>Microsoft Office Word</Application>
  <DocSecurity>0</DocSecurity>
  <Lines>223</Lines>
  <Paragraphs>62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SITALFA S</vt:lpstr>
      <vt:lpstr>SITALFA S</vt:lpstr>
    </vt:vector>
  </TitlesOfParts>
  <Company/>
  <LinksUpToDate>false</LinksUpToDate>
  <CharactersWithSpaces>31484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SITALFA S</dc:title>
  <dc:subject/>
  <dc:creator>ABaggio</dc:creator>
  <cp:keywords/>
  <cp:lastModifiedBy>Luciano Barrel</cp:lastModifiedBy>
  <cp:revision>6</cp:revision>
  <cp:lastPrinted>2022-02-28T15:40:00Z</cp:lastPrinted>
  <dcterms:created xsi:type="dcterms:W3CDTF">2022-03-04T16:40:00Z</dcterms:created>
  <dcterms:modified xsi:type="dcterms:W3CDTF">2022-03-29T10:26:00Z</dcterms:modified>
</cp:coreProperties>
</file>